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411899</w:t>
      </w:r>
      <w:bookmarkStart w:id="1" w:name="_GoBack"/>
      <w:bookmarkEnd w:id="1"/>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Systems parameters and RF requirements of n87 and n88</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7.15.2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RAN#104 meeting, a Rel-19 WI on introduction of new NR FDD bands n87 and n88 was approved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The core objectives of this WI are:</w:t>
            </w:r>
          </w:p>
          <w:p>
            <w:pPr>
              <w:pStyle w:val="29"/>
              <w:keepNext w:val="0"/>
              <w:keepLines w:val="0"/>
              <w:pageBreakBefore w:val="0"/>
              <w:numPr>
                <w:ilvl w:val="0"/>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Standardization of two new NR FDD bands n87 and n88 in the 410 MHz range based on</w:t>
            </w:r>
          </w:p>
          <w:p>
            <w:pPr>
              <w:keepNext w:val="0"/>
              <w:keepLines w:val="0"/>
              <w:pageBreakBefore w:val="0"/>
              <w:numPr>
                <w:ilvl w:val="1"/>
                <w:numId w:val="4"/>
              </w:numPr>
              <w:kinsoku/>
              <w:wordWrap/>
              <w:overflowPunct/>
              <w:topLinePunct w:val="0"/>
              <w:autoSpaceDE/>
              <w:autoSpaceDN/>
              <w:bidi w:val="0"/>
              <w:adjustRightInd/>
              <w:snapToGrid w:val="0"/>
              <w:spacing w:line="240" w:lineRule="auto"/>
              <w:ind w:left="1400" w:leftChars="0" w:right="-99" w:hanging="360" w:firstLineChars="0"/>
              <w:textAlignment w:val="auto"/>
              <w:rPr>
                <w:rFonts w:hint="default" w:ascii="Times New Roman" w:hAnsi="Times New Roman" w:cs="Times New Roman"/>
                <w:bCs/>
                <w:sz w:val="20"/>
                <w:szCs w:val="20"/>
                <w:highlight w:val="none"/>
                <w:lang w:val="de-AT"/>
              </w:rPr>
            </w:pPr>
            <w:r>
              <w:rPr>
                <w:rFonts w:hint="default" w:ascii="Times New Roman" w:hAnsi="Times New Roman" w:cs="Times New Roman"/>
                <w:bCs/>
                <w:sz w:val="20"/>
                <w:szCs w:val="20"/>
                <w:highlight w:val="none"/>
                <w:lang w:val="de-AT"/>
              </w:rPr>
              <w:t xml:space="preserve">E-UTRA band 87 (UL 410 </w:t>
            </w:r>
            <w:r>
              <w:rPr>
                <w:rFonts w:hint="default" w:ascii="Times New Roman" w:hAnsi="Times New Roman" w:cs="Times New Roman"/>
                <w:bCs/>
                <w:sz w:val="20"/>
                <w:szCs w:val="20"/>
                <w:highlight w:val="none"/>
                <w:lang w:val="de-AT"/>
              </w:rPr>
              <w:noBreakHyphen/>
            </w:r>
            <w:r>
              <w:rPr>
                <w:rFonts w:hint="default" w:ascii="Times New Roman" w:hAnsi="Times New Roman" w:cs="Times New Roman"/>
                <w:bCs/>
                <w:sz w:val="20"/>
                <w:szCs w:val="20"/>
                <w:highlight w:val="none"/>
                <w:lang w:val="de-AT"/>
              </w:rPr>
              <w:t xml:space="preserve"> 415, DL 420 – 425 MHz) </w:t>
            </w:r>
          </w:p>
          <w:p>
            <w:pPr>
              <w:keepNext w:val="0"/>
              <w:keepLines w:val="0"/>
              <w:pageBreakBefore w:val="0"/>
              <w:numPr>
                <w:ilvl w:val="1"/>
                <w:numId w:val="4"/>
              </w:numPr>
              <w:kinsoku/>
              <w:wordWrap/>
              <w:overflowPunct/>
              <w:topLinePunct w:val="0"/>
              <w:autoSpaceDE/>
              <w:autoSpaceDN/>
              <w:bidi w:val="0"/>
              <w:adjustRightInd/>
              <w:snapToGrid w:val="0"/>
              <w:spacing w:line="240" w:lineRule="auto"/>
              <w:ind w:left="1400" w:leftChars="0" w:right="-99" w:hanging="360" w:firstLineChars="0"/>
              <w:textAlignment w:val="auto"/>
              <w:rPr>
                <w:rFonts w:hint="default" w:ascii="Times New Roman" w:hAnsi="Times New Roman" w:cs="Times New Roman"/>
                <w:bCs/>
                <w:sz w:val="20"/>
                <w:szCs w:val="20"/>
                <w:highlight w:val="none"/>
                <w:lang w:val="de-AT"/>
              </w:rPr>
            </w:pPr>
            <w:r>
              <w:rPr>
                <w:rFonts w:hint="default" w:ascii="Times New Roman" w:hAnsi="Times New Roman" w:cs="Times New Roman"/>
                <w:bCs/>
                <w:sz w:val="20"/>
                <w:szCs w:val="20"/>
                <w:highlight w:val="none"/>
                <w:lang w:val="de-AT"/>
              </w:rPr>
              <w:t xml:space="preserve">E-UTRA band 88 (UL 412 </w:t>
            </w:r>
            <w:r>
              <w:rPr>
                <w:rFonts w:hint="default" w:ascii="Times New Roman" w:hAnsi="Times New Roman" w:cs="Times New Roman"/>
                <w:bCs/>
                <w:sz w:val="20"/>
                <w:szCs w:val="20"/>
                <w:highlight w:val="none"/>
                <w:lang w:val="de-AT"/>
              </w:rPr>
              <w:noBreakHyphen/>
            </w:r>
            <w:r>
              <w:rPr>
                <w:rFonts w:hint="default" w:ascii="Times New Roman" w:hAnsi="Times New Roman" w:cs="Times New Roman"/>
                <w:bCs/>
                <w:sz w:val="20"/>
                <w:szCs w:val="20"/>
                <w:highlight w:val="none"/>
                <w:lang w:val="de-AT"/>
              </w:rPr>
              <w:t xml:space="preserve"> 417, DL 422 – 427 MHz) </w:t>
            </w:r>
          </w:p>
          <w:p>
            <w:pPr>
              <w:pStyle w:val="29"/>
              <w:keepNext w:val="0"/>
              <w:keepLines w:val="0"/>
              <w:pageBreakBefore w:val="0"/>
              <w:numPr>
                <w:ilvl w:val="0"/>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During the work evaluate potential impacts of NR. If any impact on performance or any changes w.r.t. existing requirements of band 87 and 88. are found, address those during the work.</w:t>
            </w:r>
          </w:p>
          <w:p>
            <w:pPr>
              <w:pStyle w:val="29"/>
              <w:keepNext w:val="0"/>
              <w:keepLines w:val="0"/>
              <w:pageBreakBefore w:val="0"/>
              <w:numPr>
                <w:ilvl w:val="0"/>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 xml:space="preserve">Specify band numbering (i.e. n87 and n88) system parameters and RF characteristics for 3 and 5 MHz channel bandwidth of the new bands.  </w:t>
            </w:r>
          </w:p>
          <w:p>
            <w:pPr>
              <w:pStyle w:val="29"/>
              <w:keepNext w:val="0"/>
              <w:keepLines w:val="0"/>
              <w:pageBreakBefore w:val="0"/>
              <w:numPr>
                <w:ilvl w:val="1"/>
                <w:numId w:val="4"/>
              </w:numPr>
              <w:kinsoku/>
              <w:wordWrap/>
              <w:overflowPunct/>
              <w:topLinePunct w:val="0"/>
              <w:autoSpaceDE/>
              <w:autoSpaceDN/>
              <w:bidi w:val="0"/>
              <w:adjustRightInd/>
              <w:snapToGrid w:val="0"/>
              <w:spacing w:line="240" w:lineRule="auto"/>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15 kHz SCS for 3MHz and 5MHz channel bandwidth</w:t>
            </w:r>
          </w:p>
          <w:p>
            <w:pPr>
              <w:pStyle w:val="29"/>
              <w:keepNext w:val="0"/>
              <w:keepLines w:val="0"/>
              <w:pageBreakBefore w:val="0"/>
              <w:numPr>
                <w:ilvl w:val="1"/>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Only symmetric bandwidths are supported.</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 xml:space="preserve">Address potential BS and UE co-existence issues, if any. </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Specify the UE RF requirements for the new bands based on 2 Rx operation.</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 xml:space="preserve">Update the related technical specifications to include support for the new band </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eastAsia"/>
                <w:bCs/>
                <w:i w:val="0"/>
                <w:iCs w:val="0"/>
                <w:kern w:val="0"/>
                <w:sz w:val="20"/>
                <w:szCs w:val="20"/>
                <w:highlight w:val="none"/>
                <w:vertAlign w:val="baseline"/>
                <w:lang w:val="en-US" w:eastAsia="zh-CN"/>
              </w:rPr>
            </w:pPr>
            <w:r>
              <w:rPr>
                <w:rFonts w:hint="default" w:ascii="Times New Roman" w:hAnsi="Times New Roman" w:cs="Times New Roman"/>
                <w:bCs/>
                <w:sz w:val="20"/>
                <w:szCs w:val="20"/>
                <w:highlight w:val="none"/>
              </w:rPr>
              <w:t>Note: These 2 new NR bands will be introduced in a REL-independent way starting from REL-15.</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Standardization of these two new NR bands is based on E-UTRA band 87 and band 88. In this contribution, we provide some system parameters and RF requirements of these two new bands that need to be included to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System parameters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inclusion of bands n87 and n88 within the 5G NR operating bands will allow bands n87 and n88 to deploy advanced 5G NR services and applications in additional low frequency spectrum and contribute to extend the range of deployment[1]. In this case, NR bands n87 and n88 should be included in Rel-19 spec in order to guide 5G NR devices to support these two new bands.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Introduction of NR bands n87 and n88 will influence the following system parameters in existing specification.</w:t>
      </w:r>
    </w:p>
    <w:p>
      <w:pPr>
        <w:keepNext w:val="0"/>
        <w:keepLines w:val="0"/>
        <w:pageBreakBefore w:val="0"/>
        <w:widowControl/>
        <w:numPr>
          <w:ilvl w:val="0"/>
          <w:numId w:val="6"/>
        </w:numPr>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Operating band</w:t>
      </w:r>
    </w:p>
    <w:p>
      <w:pPr>
        <w:keepNext w:val="0"/>
        <w:keepLines w:val="0"/>
        <w:pageBreakBefore w:val="0"/>
        <w:widowControl/>
        <w:numPr>
          <w:ilvl w:val="0"/>
          <w:numId w:val="0"/>
        </w:numPr>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LTE refarming bands, n87 and n88 should be defined in operating bands in FR1 as in Table 2-1.</w:t>
      </w:r>
    </w:p>
    <w:p>
      <w:pPr>
        <w:keepNext w:val="0"/>
        <w:keepLines w:val="0"/>
        <w:pageBreakBefore w:val="0"/>
        <w:widowControl w:val="0"/>
        <w:kinsoku/>
        <w:wordWrap/>
        <w:overflowPunct/>
        <w:topLinePunct w:val="0"/>
        <w:autoSpaceDE/>
        <w:autoSpaceDN/>
        <w:bidi w:val="0"/>
        <w:adjustRightInd/>
        <w:snapToGrid w:val="0"/>
        <w:spacing w:before="0" w:after="157" w:afterLines="50"/>
        <w:jc w:val="center"/>
        <w:textAlignment w:val="auto"/>
        <w:rPr>
          <w:rFonts w:ascii="Arial" w:hAnsi="Arial" w:eastAsia="Times New Roman" w:cs="Times New Roman"/>
          <w:b/>
          <w:lang w:val="en-GB" w:eastAsia="en-US" w:bidi="ar-SA"/>
        </w:rPr>
      </w:pPr>
      <w:r>
        <w:rPr>
          <w:rFonts w:ascii="Arial" w:hAnsi="Arial" w:eastAsia="Times New Roman" w:cs="Times New Roman"/>
          <w:b/>
          <w:lang w:val="en-GB" w:eastAsia="en-US" w:bidi="ar-SA"/>
        </w:rPr>
        <w:t>Table 2-1</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 xml:space="preserve"> NR operating bands in FR1</w:t>
      </w:r>
    </w:p>
    <w:tbl>
      <w:tblPr>
        <w:tblStyle w:val="17"/>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operating band</w:t>
            </w:r>
          </w:p>
        </w:tc>
        <w:tc>
          <w:tcPr>
            <w:tcW w:w="27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Uplink (UL)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receive / UE transmit</w:t>
            </w:r>
          </w:p>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vertAlign w:val="subscript"/>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 xml:space="preserve">UL_low </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UL_high</w:t>
            </w:r>
          </w:p>
        </w:tc>
        <w:tc>
          <w:tcPr>
            <w:tcW w:w="29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Downlink (DL)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transmit / UE receive</w:t>
            </w:r>
          </w:p>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DL_low</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DL_high</w:t>
            </w:r>
          </w:p>
        </w:tc>
        <w:tc>
          <w:tcPr>
            <w:tcW w:w="908" w:type="dxa"/>
            <w:tcBorders>
              <w:top w:val="single" w:color="auto" w:sz="4" w:space="0"/>
              <w:left w:val="single" w:color="auto" w:sz="4" w:space="0"/>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87</w:t>
            </w:r>
          </w:p>
        </w:tc>
        <w:tc>
          <w:tcPr>
            <w:tcW w:w="271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410</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415</w:t>
            </w:r>
            <w:r>
              <w:rPr>
                <w:rFonts w:ascii="Arial" w:hAnsi="Arial" w:eastAsia="Times New Roman" w:cs="Times New Roman"/>
                <w:sz w:val="18"/>
                <w:lang w:val="en-GB" w:eastAsia="en-US"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420</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425</w:t>
            </w:r>
            <w:r>
              <w:rPr>
                <w:rFonts w:ascii="Arial" w:hAnsi="Arial" w:eastAsia="Times New Roman" w:cs="Times New Roman"/>
                <w:sz w:val="18"/>
                <w:lang w:val="en-GB" w:eastAsia="en-US"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88</w:t>
            </w:r>
          </w:p>
        </w:tc>
        <w:tc>
          <w:tcPr>
            <w:tcW w:w="271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412</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417</w:t>
            </w:r>
            <w:r>
              <w:rPr>
                <w:rFonts w:ascii="Arial" w:hAnsi="Arial" w:eastAsia="Times New Roman" w:cs="Times New Roman"/>
                <w:sz w:val="18"/>
                <w:lang w:val="en-GB" w:eastAsia="en-US"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422</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427</w:t>
            </w:r>
            <w:r>
              <w:rPr>
                <w:rFonts w:ascii="Arial" w:hAnsi="Arial" w:eastAsia="Times New Roman" w:cs="Times New Roman"/>
                <w:sz w:val="18"/>
                <w:lang w:val="en-GB" w:eastAsia="en-US"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Channel bandwidth</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ascii="Arial" w:hAnsi="Arial" w:eastAsia="Yu Mincho" w:cs="Times New Roman"/>
          <w:b/>
          <w:lang w:val="en-GB" w:eastAsia="en-US" w:bidi="ar-SA"/>
        </w:rPr>
      </w:pPr>
      <w:r>
        <w:rPr>
          <w:rFonts w:hint="eastAsia" w:cs="Times New Roman"/>
          <w:b w:val="0"/>
          <w:bCs w:val="0"/>
          <w:i w:val="0"/>
          <w:iCs w:val="0"/>
          <w:sz w:val="20"/>
          <w:szCs w:val="20"/>
          <w:highlight w:val="none"/>
          <w:lang w:val="en-US" w:eastAsia="zh-CN"/>
        </w:rPr>
        <w:t>According to the objectives in WI, we can require the channel bandwidth for bands n87 and n88 in Table 2-2.</w:t>
      </w:r>
    </w:p>
    <w:p>
      <w:pPr>
        <w:keepNext/>
        <w:keepLines/>
        <w:pageBreakBefore w:val="0"/>
        <w:kinsoku/>
        <w:wordWrap/>
        <w:overflowPunct/>
        <w:topLinePunct w:val="0"/>
        <w:autoSpaceDE/>
        <w:autoSpaceDN/>
        <w:bidi w:val="0"/>
        <w:snapToGrid w:val="0"/>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w:t>
      </w:r>
      <w:r>
        <w:rPr>
          <w:rFonts w:hint="eastAsia" w:ascii="Arial" w:hAnsi="Arial" w:eastAsia="宋体" w:cs="Times New Roman"/>
          <w:b/>
          <w:lang w:val="en-US" w:eastAsia="zh-CN" w:bidi="ar-SA"/>
        </w:rPr>
        <w:t>2</w:t>
      </w:r>
      <w:r>
        <w:rPr>
          <w:rFonts w:ascii="Arial" w:hAnsi="Arial" w:eastAsia="Yu Mincho" w:cs="Times New Roman"/>
          <w:b/>
          <w:lang w:val="en-GB" w:eastAsia="en-US" w:bidi="ar-SA"/>
        </w:rPr>
        <w:t>-</w:t>
      </w:r>
      <w:r>
        <w:rPr>
          <w:rFonts w:hint="eastAsia" w:ascii="Arial" w:hAnsi="Arial" w:eastAsia="宋体" w:cs="Times New Roman"/>
          <w:b/>
          <w:lang w:val="en-US" w:eastAsia="zh-CN" w:bidi="ar-SA"/>
        </w:rPr>
        <w:t>2</w:t>
      </w:r>
      <w:r>
        <w:rPr>
          <w:rFonts w:ascii="Arial" w:hAnsi="Arial" w:eastAsia="Yu Mincho" w:cs="Times New Roman"/>
          <w:b/>
          <w:lang w:val="en-GB" w:eastAsia="en-US" w:bidi="ar-SA"/>
        </w:rPr>
        <w:t xml:space="preserve"> </w:t>
      </w:r>
      <w:r>
        <w:rPr>
          <w:rFonts w:hint="eastAsia" w:ascii="Arial" w:hAnsi="Arial" w:eastAsia="宋体" w:cs="Times New Roman"/>
          <w:b/>
          <w:lang w:val="en-US" w:eastAsia="zh-CN" w:bidi="ar-SA"/>
        </w:rPr>
        <w:t xml:space="preserve"> </w:t>
      </w:r>
      <w:r>
        <w:rPr>
          <w:rFonts w:ascii="Arial" w:hAnsi="Arial" w:eastAsia="Yu Mincho" w:cs="Times New Roman"/>
          <w:b/>
          <w:lang w:val="en-GB" w:eastAsia="en-US" w:bidi="ar-SA"/>
        </w:rPr>
        <w:t>Channel bandwidths for each NR band</w:t>
      </w:r>
    </w:p>
    <w:tbl>
      <w:tblPr>
        <w:tblStyle w:val="17"/>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Band</w:t>
            </w:r>
          </w:p>
        </w:tc>
        <w:tc>
          <w:tcPr>
            <w:tcW w:w="709" w:type="dxa"/>
            <w:vMerge w:val="restart"/>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SCS (kHz)</w:t>
            </w:r>
          </w:p>
        </w:tc>
        <w:tc>
          <w:tcPr>
            <w:tcW w:w="10199" w:type="dxa"/>
            <w:gridSpan w:val="16"/>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w:t>
            </w:r>
            <w:r>
              <w:rPr>
                <w:rFonts w:ascii="Arial" w:hAnsi="Arial" w:eastAsia="Times New Roman" w:cs="Times New Roman"/>
                <w:b/>
                <w:sz w:val="18"/>
                <w:lang w:val="en-GB" w:eastAsia="en-US" w:bidi="ar-SA"/>
              </w:rPr>
              <w:t>E Channel bandwidth (M</w:t>
            </w:r>
            <w:r>
              <w:rPr>
                <w:rFonts w:ascii="Arial" w:hAnsi="Arial" w:eastAsia="Yu Mincho" w:cs="Times New Roman"/>
                <w:b/>
                <w:sz w:val="18"/>
                <w:lang w:val="en-GB" w:eastAsia="en-US" w:bidi="ar-S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p>
        </w:tc>
        <w:tc>
          <w:tcPr>
            <w:tcW w:w="709" w:type="dxa"/>
            <w:vMerge w:val="continue"/>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zh-CN" w:bidi="ar-SA"/>
              </w:rPr>
              <w:t>3</w:t>
            </w:r>
          </w:p>
        </w:tc>
        <w:tc>
          <w:tcPr>
            <w:tcW w:w="566"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5</w:t>
            </w:r>
          </w:p>
        </w:tc>
        <w:tc>
          <w:tcPr>
            <w:tcW w:w="637"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1</w:t>
            </w:r>
            <w:r>
              <w:rPr>
                <w:rFonts w:ascii="Arial" w:hAnsi="Arial" w:eastAsia="宋体"/>
                <w:b/>
                <w:sz w:val="18"/>
                <w:szCs w:val="20"/>
                <w:lang w:val="en-GB" w:eastAsia="zh-CN"/>
              </w:rPr>
              <w:t>0</w:t>
            </w:r>
          </w:p>
        </w:tc>
        <w:tc>
          <w:tcPr>
            <w:tcW w:w="638"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1</w:t>
            </w:r>
            <w:r>
              <w:rPr>
                <w:rFonts w:ascii="Arial" w:hAnsi="Arial" w:eastAsia="宋体"/>
                <w:b/>
                <w:sz w:val="18"/>
                <w:szCs w:val="20"/>
                <w:lang w:val="en-GB" w:eastAsia="zh-CN"/>
              </w:rPr>
              <w:t>5</w:t>
            </w:r>
          </w:p>
        </w:tc>
        <w:tc>
          <w:tcPr>
            <w:tcW w:w="708"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2</w:t>
            </w:r>
            <w:r>
              <w:rPr>
                <w:rFonts w:ascii="Arial" w:hAnsi="Arial" w:eastAsia="宋体"/>
                <w:b/>
                <w:sz w:val="18"/>
                <w:szCs w:val="20"/>
                <w:lang w:val="en-GB" w:eastAsia="zh-CN"/>
              </w:rPr>
              <w:t>0</w:t>
            </w: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ascii="Arial" w:hAnsi="Arial" w:eastAsia="宋体"/>
                <w:b/>
                <w:sz w:val="18"/>
                <w:szCs w:val="20"/>
                <w:lang w:val="en-GB" w:eastAsia="zh-CN"/>
              </w:rPr>
              <w:t>25</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3</w:t>
            </w:r>
            <w:r>
              <w:rPr>
                <w:rFonts w:ascii="Arial" w:hAnsi="Arial" w:eastAsia="宋体"/>
                <w:b/>
                <w:sz w:val="18"/>
                <w:szCs w:val="20"/>
                <w:lang w:val="en-GB" w:eastAsia="zh-CN"/>
              </w:rPr>
              <w:t>0</w:t>
            </w:r>
          </w:p>
        </w:tc>
        <w:tc>
          <w:tcPr>
            <w:tcW w:w="709" w:type="dxa"/>
          </w:tcPr>
          <w:p>
            <w:pPr>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zh-CN"/>
              </w:rPr>
            </w:pPr>
            <w:r>
              <w:rPr>
                <w:rFonts w:ascii="Arial" w:hAnsi="Arial" w:eastAsia="宋体"/>
                <w:b/>
                <w:sz w:val="18"/>
                <w:szCs w:val="20"/>
                <w:lang w:val="en-GB" w:eastAsia="zh-CN"/>
              </w:rPr>
              <w:t>35</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4</w:t>
            </w:r>
            <w:r>
              <w:rPr>
                <w:rFonts w:ascii="Arial" w:hAnsi="Arial" w:eastAsia="宋体"/>
                <w:b/>
                <w:sz w:val="18"/>
                <w:szCs w:val="20"/>
                <w:lang w:val="en-GB" w:eastAsia="zh-CN"/>
              </w:rPr>
              <w:t>0</w:t>
            </w:r>
          </w:p>
        </w:tc>
        <w:tc>
          <w:tcPr>
            <w:tcW w:w="709" w:type="dxa"/>
          </w:tcPr>
          <w:p>
            <w:pPr>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zh-CN"/>
              </w:rPr>
            </w:pPr>
            <w:r>
              <w:rPr>
                <w:rFonts w:ascii="Arial" w:hAnsi="Arial" w:eastAsia="宋体"/>
                <w:b/>
                <w:sz w:val="18"/>
                <w:szCs w:val="20"/>
                <w:lang w:val="en-GB" w:eastAsia="zh-CN"/>
              </w:rPr>
              <w:t>45</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50</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6</w:t>
            </w:r>
            <w:r>
              <w:rPr>
                <w:rFonts w:ascii="Arial" w:hAnsi="Arial" w:eastAsia="宋体"/>
                <w:b/>
                <w:sz w:val="18"/>
                <w:szCs w:val="20"/>
                <w:lang w:val="en-GB" w:eastAsia="zh-CN"/>
              </w:rPr>
              <w:t>0</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7</w:t>
            </w:r>
            <w:r>
              <w:rPr>
                <w:rFonts w:ascii="Arial" w:hAnsi="Arial" w:eastAsia="宋体"/>
                <w:b/>
                <w:sz w:val="18"/>
                <w:szCs w:val="20"/>
                <w:lang w:val="en-GB" w:eastAsia="zh-CN"/>
              </w:rPr>
              <w:t>0</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8</w:t>
            </w:r>
            <w:r>
              <w:rPr>
                <w:rFonts w:ascii="Arial" w:hAnsi="Arial" w:eastAsia="宋体"/>
                <w:b/>
                <w:sz w:val="18"/>
                <w:szCs w:val="20"/>
                <w:lang w:val="en-GB" w:eastAsia="zh-CN"/>
              </w:rPr>
              <w:t>0</w:t>
            </w:r>
          </w:p>
        </w:tc>
        <w:tc>
          <w:tcPr>
            <w:tcW w:w="628"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9</w:t>
            </w:r>
            <w:r>
              <w:rPr>
                <w:rFonts w:ascii="Arial" w:hAnsi="Arial" w:eastAsia="宋体"/>
                <w:b/>
                <w:sz w:val="18"/>
                <w:szCs w:val="20"/>
                <w:lang w:val="en-GB" w:eastAsia="zh-CN"/>
              </w:rPr>
              <w:t>0</w:t>
            </w:r>
          </w:p>
        </w:tc>
        <w:tc>
          <w:tcPr>
            <w:tcW w:w="643"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1</w:t>
            </w:r>
            <w:r>
              <w:rPr>
                <w:rFonts w:ascii="Arial" w:hAnsi="Arial" w:eastAsia="宋体"/>
                <w:b/>
                <w:sz w:val="18"/>
                <w:szCs w:val="20"/>
                <w:lang w:val="en-GB"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Yu Mincho" w:cs="Times New Roman"/>
                <w:sz w:val="18"/>
                <w:lang w:val="en-GB" w:eastAsia="en-US" w:bidi="ar-SA"/>
              </w:rPr>
              <w:t>n</w:t>
            </w:r>
            <w:r>
              <w:rPr>
                <w:rFonts w:hint="eastAsia" w:ascii="Arial" w:hAnsi="Arial" w:eastAsia="宋体" w:cs="Times New Roman"/>
                <w:sz w:val="18"/>
                <w:lang w:val="en-US" w:eastAsia="zh-CN" w:bidi="ar-SA"/>
              </w:rPr>
              <w:t>87</w:t>
            </w: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pageBreakBefore w:val="0"/>
              <w:kinsoku/>
              <w:wordWrap/>
              <w:overflowPunct/>
              <w:topLinePunct w:val="0"/>
              <w:autoSpaceDE/>
              <w:autoSpaceDN/>
              <w:bidi w:val="0"/>
              <w:snapToGrid w:val="0"/>
              <w:spacing w:after="0"/>
              <w:jc w:val="center"/>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3</w:t>
            </w: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Yu Mincho" w:cs="Times New Roman"/>
                <w:sz w:val="18"/>
                <w:lang w:val="en-GB" w:eastAsia="en-US" w:bidi="ar-SA"/>
              </w:rPr>
              <w:t>n</w:t>
            </w:r>
            <w:r>
              <w:rPr>
                <w:rFonts w:hint="eastAsia" w:ascii="Arial" w:hAnsi="Arial" w:eastAsia="宋体" w:cs="Times New Roman"/>
                <w:sz w:val="18"/>
                <w:lang w:val="en-US" w:eastAsia="zh-CN" w:bidi="ar-SA"/>
              </w:rPr>
              <w:t>88</w:t>
            </w: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Calibri" w:hAnsi="Calibri" w:eastAsia="Yu Mincho" w:cs="Times New Roman"/>
                <w:sz w:val="22"/>
                <w:lang w:val="en-GB" w:eastAsia="en-US" w:bidi="ar-SA"/>
              </w:rPr>
            </w:pPr>
            <w:r>
              <w:rPr>
                <w:rFonts w:ascii="Arial" w:hAnsi="Arial" w:eastAsia="Yu Mincho" w:cs="Times New Roman"/>
                <w:sz w:val="18"/>
                <w:lang w:val="en-GB" w:eastAsia="en-US" w:bidi="ar-SA"/>
              </w:rPr>
              <w:t>15</w:t>
            </w:r>
          </w:p>
        </w:tc>
        <w:tc>
          <w:tcPr>
            <w:tcW w:w="566" w:type="dxa"/>
          </w:tcPr>
          <w:p>
            <w:pPr>
              <w:keepNext/>
              <w:keepLines/>
              <w:pageBreakBefore w:val="0"/>
              <w:kinsoku/>
              <w:wordWrap/>
              <w:overflowPunct/>
              <w:topLinePunct w:val="0"/>
              <w:autoSpaceDE/>
              <w:autoSpaceDN/>
              <w:bidi w:val="0"/>
              <w:snapToGrid w:val="0"/>
              <w:spacing w:after="0"/>
              <w:jc w:val="center"/>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3</w:t>
            </w: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Channel raster</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Applicable NR-ARFCN for new operating bands n87 and n88 are listed in Table 2-3 and Table 2-4.</w:t>
      </w:r>
    </w:p>
    <w:p>
      <w:pPr>
        <w:keepNext/>
        <w:keepLines/>
        <w:pageBreakBefore w:val="0"/>
        <w:kinsoku/>
        <w:wordWrap/>
        <w:overflowPunct/>
        <w:topLinePunct w:val="0"/>
        <w:autoSpaceDE/>
        <w:autoSpaceDN/>
        <w:bidi w:val="0"/>
        <w:snapToGrid w:val="0"/>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宋体" w:cs="Times New Roman"/>
          <w:b/>
          <w:lang w:val="en-US" w:eastAsia="zh-CN" w:bidi="ar-SA"/>
        </w:rPr>
        <w:t>2</w:t>
      </w:r>
      <w:r>
        <w:rPr>
          <w:rFonts w:ascii="Arial" w:hAnsi="Arial" w:eastAsia="Times New Roman" w:cs="Times New Roman"/>
          <w:b/>
          <w:lang w:val="en-GB" w:eastAsia="en-US" w:bidi="ar-SA"/>
        </w:rPr>
        <w:t>-</w:t>
      </w:r>
      <w:r>
        <w:rPr>
          <w:rFonts w:hint="eastAsia" w:ascii="Arial" w:hAnsi="Arial" w:eastAsia="宋体" w:cs="Times New Roman"/>
          <w:b/>
          <w:lang w:val="en-US" w:eastAsia="zh-CN" w:bidi="ar-SA"/>
        </w:rPr>
        <w:t xml:space="preserve">3 </w:t>
      </w:r>
      <w:r>
        <w:rPr>
          <w:rFonts w:ascii="Arial" w:hAnsi="Arial" w:eastAsia="Times New Roman" w:cs="Times New Roman"/>
          <w:b/>
          <w:lang w:val="en-GB" w:eastAsia="en-US" w:bidi="ar-SA"/>
        </w:rPr>
        <w:t xml:space="preserve"> Applicable NR-ARFCN per operating band</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87</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82</w:t>
            </w:r>
            <w:r>
              <w:rPr>
                <w:rFonts w:ascii="Arial" w:hAnsi="Arial" w:eastAsia="Times New Roman" w:cs="Times New Roman"/>
                <w:sz w:val="18"/>
                <w:lang w:val="en-GB" w:eastAsia="en-US" w:bidi="ar-SA"/>
              </w:rPr>
              <w:t>000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83</w:t>
            </w:r>
            <w:r>
              <w:rPr>
                <w:rFonts w:ascii="Arial" w:hAnsi="Arial" w:eastAsia="Yu Mincho" w:cs="Times New Roman"/>
                <w:sz w:val="18"/>
                <w:lang w:val="en-GB" w:eastAsia="en-US" w:bidi="ar-SA"/>
              </w:rPr>
              <w:t>000</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84</w:t>
            </w:r>
            <w:r>
              <w:rPr>
                <w:rFonts w:ascii="Arial" w:hAnsi="Arial" w:eastAsia="Times New Roman" w:cs="Times New Roman"/>
                <w:sz w:val="18"/>
                <w:lang w:val="en-GB" w:eastAsia="en-US" w:bidi="ar-SA"/>
              </w:rPr>
              <w:t>000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85</w:t>
            </w:r>
            <w:r>
              <w:rPr>
                <w:rFonts w:ascii="Arial" w:hAnsi="Arial" w:eastAsia="Yu Mincho" w:cs="Times New Roman"/>
                <w:sz w:val="18"/>
                <w:lang w:val="en-GB" w:eastAsia="en-US"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88</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824</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834</w:t>
            </w:r>
            <w:r>
              <w:rPr>
                <w:rFonts w:ascii="Arial" w:hAnsi="Arial" w:eastAsia="Yu Mincho"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844</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854</w:t>
            </w:r>
            <w:r>
              <w:rPr>
                <w:rFonts w:ascii="Arial" w:hAnsi="Arial" w:eastAsia="Yu Mincho" w:cs="Times New Roman"/>
                <w:sz w:val="18"/>
                <w:lang w:val="en-GB" w:eastAsia="en-US" w:bidi="ar-SA"/>
              </w:rPr>
              <w:t>00</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pStyle w:val="37"/>
      </w:pPr>
      <w:r>
        <w:t xml:space="preserve">Table </w:t>
      </w:r>
      <w:r>
        <w:rPr>
          <w:rFonts w:hint="eastAsia"/>
          <w:lang w:val="en-US" w:eastAsia="zh-CN"/>
        </w:rPr>
        <w:t>2</w:t>
      </w:r>
      <w:r>
        <w:t>-</w:t>
      </w:r>
      <w:r>
        <w:rPr>
          <w:rFonts w:hint="eastAsia"/>
          <w:lang w:val="en-US" w:eastAsia="zh-CN"/>
        </w:rPr>
        <w:t xml:space="preserve">4 </w:t>
      </w:r>
      <w:r>
        <w:t xml:space="preserve"> Applicable NR-ARFCN per operating band for enhanced channel raster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ΔF</w:t>
            </w:r>
            <w:r>
              <w:rPr>
                <w:vertAlign w:val="subscript"/>
              </w:rPr>
              <w:t>Raster</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Uplink</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vertAlign w:val="subscript"/>
              </w:rPr>
            </w:pPr>
            <w:r>
              <w:rPr>
                <w:rFonts w:eastAsia="Yu Mincho"/>
              </w:rPr>
              <w:t>Range of N</w:t>
            </w:r>
            <w:r>
              <w:rPr>
                <w:rFonts w:eastAsia="Yu Mincho"/>
                <w:vertAlign w:val="subscript"/>
              </w:rPr>
              <w:t>REF</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Downlink</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vertAlign w:val="subscript"/>
              </w:rPr>
            </w:pPr>
            <w:r>
              <w:rPr>
                <w:rFonts w:eastAsia="Yu Mincho"/>
              </w:rPr>
              <w:t>Range of N</w:t>
            </w:r>
            <w:r>
              <w:rPr>
                <w:rFonts w:eastAsia="Yu Mincho"/>
                <w:vertAlign w:val="subscript"/>
              </w:rPr>
              <w:t>REF</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highlight w:val="none"/>
              </w:rPr>
            </w:pPr>
            <w:r>
              <w:rPr>
                <w:rFonts w:hint="eastAsia"/>
                <w:highlight w:val="none"/>
                <w:lang w:val="en-US" w:eastAsia="zh-CN"/>
              </w:rPr>
              <w:t>n87</w:t>
            </w:r>
          </w:p>
        </w:tc>
        <w:tc>
          <w:tcPr>
            <w:tcW w:w="108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eastAsia="宋体"/>
                <w:lang w:val="en-US" w:eastAsia="zh-CN"/>
              </w:rP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82</w:t>
            </w:r>
            <w:r>
              <w:rPr>
                <w:rFonts w:ascii="Arial" w:hAnsi="Arial" w:eastAsia="Times New Roman" w:cs="Times New Roman"/>
                <w:sz w:val="18"/>
                <w:lang w:val="en-GB" w:eastAsia="en-US" w:bidi="ar-SA"/>
              </w:rPr>
              <w:t>000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83</w:t>
            </w:r>
            <w:r>
              <w:rPr>
                <w:rFonts w:ascii="Arial" w:hAnsi="Arial" w:eastAsia="Yu Mincho" w:cs="Times New Roman"/>
                <w:sz w:val="18"/>
                <w:lang w:val="en-GB" w:eastAsia="en-US" w:bidi="ar-SA"/>
              </w:rPr>
              <w:t>000</w:t>
            </w:r>
          </w:p>
        </w:tc>
        <w:tc>
          <w:tcPr>
            <w:tcW w:w="251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84</w:t>
            </w:r>
            <w:r>
              <w:rPr>
                <w:rFonts w:ascii="Arial" w:hAnsi="Arial" w:eastAsia="Times New Roman" w:cs="Times New Roman"/>
                <w:sz w:val="18"/>
                <w:lang w:val="en-GB" w:eastAsia="en-US" w:bidi="ar-SA"/>
              </w:rPr>
              <w:t>000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85</w:t>
            </w:r>
            <w:r>
              <w:rPr>
                <w:rFonts w:ascii="Arial" w:hAnsi="Arial" w:eastAsia="Yu Mincho" w:cs="Times New Roman"/>
                <w:sz w:val="18"/>
                <w:lang w:val="en-GB" w:eastAsia="en-US" w:bidi="ar-SA"/>
              </w:rPr>
              <w:t>000</w:t>
            </w:r>
          </w:p>
        </w:tc>
        <w:tc>
          <w:tcPr>
            <w:tcW w:w="1942"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val="0"/>
              <w:spacing w:after="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highlight w:val="none"/>
              </w:rPr>
            </w:pPr>
            <w:r>
              <w:rPr>
                <w:rFonts w:hint="eastAsia"/>
                <w:highlight w:val="none"/>
                <w:lang w:val="en-US" w:eastAsia="zh-CN"/>
              </w:rPr>
              <w:t>n88</w:t>
            </w:r>
          </w:p>
        </w:tc>
        <w:tc>
          <w:tcPr>
            <w:tcW w:w="108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eastAsia="宋体"/>
                <w:lang w:val="en-US" w:eastAsia="zh-CN"/>
              </w:rP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824</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834</w:t>
            </w:r>
            <w:r>
              <w:rPr>
                <w:rFonts w:ascii="Arial" w:hAnsi="Arial" w:eastAsia="Yu Mincho" w:cs="Times New Roman"/>
                <w:sz w:val="18"/>
                <w:lang w:val="en-GB" w:eastAsia="en-US" w:bidi="ar-SA"/>
              </w:rPr>
              <w:t>0</w:t>
            </w:r>
            <w:r>
              <w:rPr>
                <w:rFonts w:hint="eastAsia" w:eastAsia="宋体" w:cs="Times New Roman"/>
                <w:sz w:val="18"/>
                <w:lang w:val="en-US" w:eastAsia="zh-CN" w:bidi="ar-SA"/>
              </w:rPr>
              <w:t>0</w:t>
            </w:r>
          </w:p>
        </w:tc>
        <w:tc>
          <w:tcPr>
            <w:tcW w:w="251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844</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854</w:t>
            </w:r>
            <w:r>
              <w:rPr>
                <w:rFonts w:ascii="Arial" w:hAnsi="Arial" w:eastAsia="Yu Mincho" w:cs="Times New Roman"/>
                <w:sz w:val="18"/>
                <w:lang w:val="en-GB" w:eastAsia="en-US" w:bidi="ar-SA"/>
              </w:rPr>
              <w:t>00</w:t>
            </w:r>
          </w:p>
        </w:tc>
        <w:tc>
          <w:tcPr>
            <w:tcW w:w="1942"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val="0"/>
              <w:spacing w:after="0" w:line="240" w:lineRule="auto"/>
              <w:textAlignment w:val="auto"/>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Synchronization raster</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Only 15kHz SS block SCS is supported in bands n87 and n88, and applicable SS raster for both 5MHz channel bandwidth and 3MHz channel bandwidth are listed in Table 2-4 and Table 2-5, respectively.</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ind w:left="42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5MHz channel bandwidth:</w:t>
      </w:r>
    </w:p>
    <w:p>
      <w:pPr>
        <w:keepNext/>
        <w:keepLines/>
        <w:pageBreakBefore w:val="0"/>
        <w:widowControl/>
        <w:kinsoku/>
        <w:wordWrap/>
        <w:overflowPunct/>
        <w:topLinePunct w:val="0"/>
        <w:autoSpaceDE/>
        <w:autoSpaceDN/>
        <w:bidi w:val="0"/>
        <w:adjustRightInd/>
        <w:snapToGrid w:val="0"/>
        <w:spacing w:before="60" w:after="180"/>
        <w:jc w:val="center"/>
        <w:textAlignment w:val="auto"/>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宋体" w:cs="Times New Roman"/>
          <w:b/>
          <w:lang w:val="en-US" w:eastAsia="zh-CN" w:bidi="ar-SA"/>
        </w:rPr>
        <w:t>2</w:t>
      </w:r>
      <w:r>
        <w:rPr>
          <w:rFonts w:ascii="Arial" w:hAnsi="Arial" w:eastAsia="Times New Roman" w:cs="Times New Roman"/>
          <w:b/>
          <w:lang w:val="en-GB" w:eastAsia="en-US" w:bidi="ar-SA"/>
        </w:rPr>
        <w:t>-</w:t>
      </w:r>
      <w:r>
        <w:rPr>
          <w:rFonts w:hint="eastAsia" w:ascii="Arial" w:hAnsi="Arial" w:eastAsia="宋体" w:cs="Times New Roman"/>
          <w:b/>
          <w:lang w:val="en-US" w:eastAsia="zh-CN" w:bidi="ar-SA"/>
        </w:rPr>
        <w:t>5</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Applicable SS raster entries per operating band for above 3 MHz channel bandwidth</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2376"/>
        <w:gridCol w:w="2379"/>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operating band</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pattern</w:t>
            </w:r>
            <w:r>
              <w:rPr>
                <w:rFonts w:ascii="Arial" w:hAnsi="Arial" w:eastAsia="Yu Mincho" w:cs="Times New Roman"/>
                <w:b/>
                <w:sz w:val="18"/>
                <w:vertAlign w:val="superscript"/>
                <w:lang w:val="en-GB" w:eastAsia="en-US" w:bidi="ar-SA"/>
              </w:rPr>
              <w:t>1</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Range of GSCN</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87</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1055</w:t>
            </w:r>
            <w:r>
              <w:rPr>
                <w:rFonts w:ascii="Arial" w:hAnsi="Arial" w:eastAsia="Times New Roman" w:cs="Times New Roman"/>
                <w:sz w:val="18"/>
                <w:lang w:val="en-GB" w:eastAsia="en-US" w:bidi="ar-SA"/>
              </w:rPr>
              <w:t xml:space="preserve"> – &lt;1&gt; – </w:t>
            </w:r>
            <w:r>
              <w:rPr>
                <w:rFonts w:hint="eastAsia" w:ascii="Arial" w:hAnsi="Arial" w:eastAsia="宋体" w:cs="Times New Roman"/>
                <w:sz w:val="18"/>
                <w:lang w:val="en-US" w:eastAsia="zh-CN" w:bidi="ar-SA"/>
              </w:rPr>
              <w:t>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88</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40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1061</w:t>
            </w:r>
            <w:r>
              <w:rPr>
                <w:rFonts w:ascii="Arial" w:hAnsi="Arial" w:eastAsia="Times New Roman" w:cs="Times New Roman"/>
                <w:sz w:val="18"/>
                <w:lang w:val="en-GB" w:eastAsia="en-US" w:bidi="ar-SA"/>
              </w:rPr>
              <w:t xml:space="preserve"> – &lt;1&gt; – </w:t>
            </w:r>
            <w:r>
              <w:rPr>
                <w:rFonts w:hint="eastAsia" w:ascii="Arial" w:hAnsi="Arial" w:eastAsia="宋体" w:cs="Times New Roman"/>
                <w:sz w:val="18"/>
                <w:lang w:val="en-US" w:eastAsia="zh-CN" w:bidi="ar-SA"/>
              </w:rPr>
              <w:t>1062</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ind w:left="420" w:leftChars="0" w:hanging="420" w:firstLineChars="0"/>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3MHz channel bandwidth:</w:t>
      </w:r>
    </w:p>
    <w:p>
      <w:pPr>
        <w:keepNext/>
        <w:keepLines/>
        <w:pageBreakBefore w:val="0"/>
        <w:kinsoku/>
        <w:wordWrap/>
        <w:overflowPunct/>
        <w:topLinePunct w:val="0"/>
        <w:autoSpaceDE/>
        <w:autoSpaceDN/>
        <w:bidi w:val="0"/>
        <w:snapToGrid w:val="0"/>
        <w:spacing w:before="60" w:after="180"/>
        <w:jc w:val="center"/>
        <w:rPr>
          <w:rFonts w:ascii="Arial" w:hAnsi="Arial" w:eastAsia="Times New Roman" w:cs="Times New Roman"/>
          <w:b/>
          <w:lang w:val="en-GB" w:eastAsia="zh-CN" w:bidi="ar-SA"/>
        </w:rPr>
      </w:pPr>
      <w:bookmarkStart w:id="0" w:name="_Hlk143815986"/>
      <w:r>
        <w:rPr>
          <w:rFonts w:ascii="Arial" w:hAnsi="Arial" w:eastAsia="Times New Roman" w:cs="Times New Roman"/>
          <w:b/>
          <w:lang w:val="en-GB" w:eastAsia="zh-CN" w:bidi="ar-SA"/>
        </w:rPr>
        <w:t xml:space="preserve">Table </w:t>
      </w:r>
      <w:bookmarkEnd w:id="0"/>
      <w:r>
        <w:rPr>
          <w:rFonts w:hint="eastAsia" w:ascii="Arial" w:hAnsi="Arial" w:eastAsia="Times New Roman" w:cs="Times New Roman"/>
          <w:b/>
          <w:lang w:val="en-US" w:eastAsia="zh-CN" w:bidi="ar-SA"/>
        </w:rPr>
        <w:t>2-</w:t>
      </w:r>
      <w:r>
        <w:rPr>
          <w:rFonts w:hint="eastAsia" w:ascii="Arial" w:hAnsi="Arial" w:cs="Times New Roman"/>
          <w:b/>
          <w:lang w:val="en-US" w:eastAsia="zh-CN" w:bidi="ar-SA"/>
        </w:rPr>
        <w:t>6</w:t>
      </w:r>
      <w:r>
        <w:rPr>
          <w:rFonts w:ascii="Arial" w:hAnsi="Arial" w:eastAsia="Times New Roman" w:cs="Times New Roman"/>
          <w:b/>
          <w:lang w:val="en-GB" w:eastAsia="zh-CN" w:bidi="ar-SA"/>
        </w:rPr>
        <w:t xml:space="preserve"> </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zh-CN" w:bidi="ar-SA"/>
        </w:rPr>
        <w:t>Applicable SS raster entries per operating band for 3 MHz channel bandwidth</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vertAlign w:val="superscript"/>
                <w:lang w:val="en-GB" w:eastAsia="en-US" w:bidi="ar-SA"/>
              </w:rPr>
              <w:t>1</w:t>
            </w:r>
          </w:p>
        </w:tc>
        <w:tc>
          <w:tcPr>
            <w:tcW w:w="259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87</w:t>
            </w:r>
          </w:p>
        </w:tc>
        <w:tc>
          <w:tcPr>
            <w:tcW w:w="209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28743</w:t>
            </w:r>
            <w:r>
              <w:rPr>
                <w:rFonts w:ascii="Arial" w:hAnsi="Arial" w:eastAsia="Times New Roman" w:cs="Times New Roman"/>
                <w:sz w:val="18"/>
                <w:lang w:val="en-GB" w:eastAsia="en-US" w:bidi="ar-SA"/>
              </w:rPr>
              <w:t xml:space="preserve"> – &lt;1&gt; – </w:t>
            </w:r>
            <w:r>
              <w:rPr>
                <w:rFonts w:hint="eastAsia" w:ascii="Arial" w:hAnsi="Arial" w:eastAsia="宋体" w:cs="Times New Roman"/>
                <w:sz w:val="18"/>
                <w:lang w:val="en-US" w:eastAsia="zh-CN" w:bidi="ar-SA"/>
              </w:rPr>
              <w:t>28754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88</w:t>
            </w:r>
          </w:p>
        </w:tc>
        <w:tc>
          <w:tcPr>
            <w:tcW w:w="209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28752</w:t>
            </w:r>
            <w:r>
              <w:rPr>
                <w:rFonts w:ascii="Arial" w:hAnsi="Arial" w:eastAsia="Times New Roman" w:cs="Times New Roman"/>
                <w:sz w:val="18"/>
                <w:lang w:val="en-GB" w:eastAsia="en-US" w:bidi="ar-SA"/>
              </w:rPr>
              <w:t xml:space="preserve"> – &lt;1&gt; – </w:t>
            </w:r>
            <w:r>
              <w:rPr>
                <w:rFonts w:hint="eastAsia" w:ascii="Arial" w:hAnsi="Arial" w:eastAsia="宋体" w:cs="Times New Roman"/>
                <w:sz w:val="18"/>
                <w:lang w:val="en-US" w:eastAsia="zh-CN" w:bidi="ar-SA"/>
              </w:rPr>
              <w:t>28764</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b/>
          <w:bCs/>
        </w:rPr>
        <w:t>TX–RX frequency separation</w:t>
      </w:r>
    </w:p>
    <w:p>
      <w:pPr>
        <w:keepNext w:val="0"/>
        <w:keepLines w:val="0"/>
        <w:pageBreakBefore w:val="0"/>
        <w:widowControl/>
        <w:numPr>
          <w:ilvl w:val="0"/>
          <w:numId w:val="0"/>
        </w:numPr>
        <w:kinsoku/>
        <w:wordWrap/>
        <w:overflowPunct/>
        <w:topLinePunct w:val="0"/>
        <w:autoSpaceDE/>
        <w:autoSpaceDN/>
        <w:bidi w:val="0"/>
        <w:adjustRightInd/>
        <w:snapToGrid w:val="0"/>
        <w:spacing w:after="157" w:afterLines="50" w:line="240" w:lineRule="auto"/>
        <w:ind w:leftChars="0"/>
        <w:jc w:val="both"/>
        <w:textAlignment w:val="auto"/>
        <w:outlineLvl w:val="9"/>
        <w:rPr>
          <w:rFonts w:hint="default" w:cs="Times New Roman"/>
          <w:b w:val="0"/>
          <w:bCs w:val="0"/>
          <w:i w:val="0"/>
          <w:iCs w:val="0"/>
          <w:sz w:val="20"/>
          <w:szCs w:val="20"/>
          <w:highlight w:val="none"/>
          <w:lang w:val="en-US" w:eastAsia="zh-CN"/>
        </w:rPr>
      </w:pPr>
      <w:r>
        <w:rPr>
          <w:rFonts w:hint="default" w:cs="Times New Roman"/>
          <w:b w:val="0"/>
          <w:bCs w:val="0"/>
          <w:i w:val="0"/>
          <w:iCs w:val="0"/>
          <w:sz w:val="20"/>
          <w:szCs w:val="20"/>
          <w:highlight w:val="none"/>
          <w:lang w:val="en-US" w:eastAsia="zh-CN"/>
        </w:rPr>
        <w:t xml:space="preserve">The default TX channel (carrier centre frequency) to RX channel (carrier centre frequency) separation for </w:t>
      </w:r>
      <w:r>
        <w:rPr>
          <w:rFonts w:hint="eastAsia" w:cs="Times New Roman"/>
          <w:b w:val="0"/>
          <w:bCs w:val="0"/>
          <w:i w:val="0"/>
          <w:iCs w:val="0"/>
          <w:sz w:val="20"/>
          <w:szCs w:val="20"/>
          <w:highlight w:val="none"/>
          <w:lang w:val="en-US" w:eastAsia="zh-CN"/>
        </w:rPr>
        <w:t xml:space="preserve">bands n87 and n88 is derived from uplink operating band and downlink operating band, which is same as that in LTE. </w:t>
      </w:r>
    </w:p>
    <w:p>
      <w:pPr>
        <w:keepNext/>
        <w:keepLines/>
        <w:pageBreakBefore w:val="0"/>
        <w:widowControl/>
        <w:kinsoku/>
        <w:wordWrap/>
        <w:overflowPunct/>
        <w:topLinePunct w:val="0"/>
        <w:autoSpaceDE/>
        <w:autoSpaceDN/>
        <w:bidi w:val="0"/>
        <w:adjustRightInd/>
        <w:snapToGrid w:val="0"/>
        <w:spacing w:before="60" w:after="180"/>
        <w:jc w:val="center"/>
        <w:textAlignment w:val="auto"/>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宋体" w:cs="Times New Roman"/>
          <w:b/>
          <w:lang w:val="en-US" w:eastAsia="zh-CN" w:bidi="ar-SA"/>
        </w:rPr>
        <w:t>2-7</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UE TX-RX frequency separation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cs="Arial"/>
                <w:b/>
                <w:sz w:val="18"/>
                <w:szCs w:val="20"/>
                <w:lang w:val="en-GB"/>
              </w:rPr>
            </w:pPr>
            <w:r>
              <w:rPr>
                <w:rFonts w:ascii="Arial" w:hAnsi="Arial" w:cs="Arial"/>
                <w:b/>
                <w:sz w:val="18"/>
                <w:szCs w:val="20"/>
                <w:lang w:val="en-GB"/>
              </w:rPr>
              <w:t>NR Operating Band</w:t>
            </w:r>
          </w:p>
        </w:tc>
        <w:tc>
          <w:tcPr>
            <w:tcW w:w="2693"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cs="Arial"/>
                <w:b/>
                <w:sz w:val="18"/>
                <w:szCs w:val="20"/>
                <w:lang w:val="en-GB"/>
              </w:rPr>
            </w:pPr>
            <w:r>
              <w:rPr>
                <w:rFonts w:ascii="Arial" w:hAnsi="Arial" w:cs="Arial"/>
                <w:b/>
                <w:sz w:val="18"/>
                <w:szCs w:val="20"/>
                <w:lang w:val="en-GB"/>
              </w:rPr>
              <w:t xml:space="preserve">TX </w:t>
            </w:r>
            <w:r>
              <w:rPr>
                <w:rFonts w:ascii="Arial" w:hAnsi="Arial" w:cs="v5.0.0"/>
                <w:b/>
                <w:sz w:val="18"/>
                <w:szCs w:val="20"/>
                <w:lang w:val="en-GB"/>
              </w:rPr>
              <w:t>–</w:t>
            </w:r>
            <w:r>
              <w:rPr>
                <w:rFonts w:ascii="Arial" w:hAnsi="Arial" w:cs="Arial"/>
                <w:b/>
                <w:sz w:val="18"/>
                <w:szCs w:val="20"/>
                <w:lang w:val="en-GB"/>
              </w:rPr>
              <w:t xml:space="preserve"> RX </w:t>
            </w:r>
            <w:r>
              <w:rPr>
                <w:rFonts w:ascii="Arial" w:hAnsi="Arial" w:cs="Arial"/>
                <w:b/>
                <w:sz w:val="18"/>
                <w:szCs w:val="20"/>
                <w:lang w:val="en-GB"/>
              </w:rPr>
              <w:br w:type="textWrapping"/>
            </w:r>
            <w:r>
              <w:rPr>
                <w:rFonts w:ascii="Arial" w:hAnsi="Arial" w:cs="Arial"/>
                <w:b/>
                <w:sz w:val="18"/>
                <w:szCs w:val="20"/>
                <w:lang w:val="en-GB"/>
              </w:rPr>
              <w:t>carrier centre frequency</w:t>
            </w:r>
            <w:r>
              <w:rPr>
                <w:rFonts w:ascii="Arial" w:hAnsi="Arial" w:cs="Arial"/>
                <w:b/>
                <w:sz w:val="18"/>
                <w:szCs w:val="20"/>
                <w:lang w:val="en-GB"/>
              </w:rPr>
              <w:br w:type="textWrapping"/>
            </w:r>
            <w:r>
              <w:rPr>
                <w:rFonts w:ascii="Arial" w:hAnsi="Arial" w:cs="Arial"/>
                <w:b/>
                <w:sz w:val="18"/>
                <w:szCs w:val="20"/>
                <w:lang w:val="en-GB"/>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n87</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n88</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10 MHz</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Approve Table 2-1 to Table 2-7 on system parameters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 xml:space="preserve">RF requirements </w:t>
      </w:r>
    </w:p>
    <w:p>
      <w:pPr>
        <w:keepNext w:val="0"/>
        <w:keepLines w:val="0"/>
        <w:pageBreakBefore w:val="0"/>
        <w:widowControl/>
        <w:numPr>
          <w:ilvl w:val="0"/>
          <w:numId w:val="8"/>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Maximum output power</w:t>
      </w:r>
    </w:p>
    <w:p>
      <w:pPr>
        <w:keepNext w:val="0"/>
        <w:keepLines w:val="0"/>
        <w:pageBreakBefore w:val="0"/>
        <w:widowControl/>
        <w:numPr>
          <w:ilvl w:val="0"/>
          <w:numId w:val="0"/>
        </w:numPr>
        <w:kinsoku/>
        <w:wordWrap/>
        <w:overflowPunct/>
        <w:topLinePunct w:val="0"/>
        <w:autoSpaceDE/>
        <w:autoSpaceDN/>
        <w:bidi w:val="0"/>
        <w:adjustRightInd/>
        <w:snapToGrid w:val="0"/>
        <w:spacing w:after="157" w:afterLines="50" w:line="240" w:lineRule="auto"/>
        <w:ind w:leftChars="0"/>
        <w:jc w:val="both"/>
        <w:textAlignment w:val="auto"/>
        <w:outlineLvl w:val="9"/>
        <w:rPr>
          <w:rFonts w:hint="default" w:cs="Times New Roman"/>
          <w:b w:val="0"/>
          <w:bCs w:val="0"/>
          <w:i w:val="0"/>
          <w:iCs w:val="0"/>
          <w:sz w:val="20"/>
          <w:szCs w:val="20"/>
          <w:highlight w:val="red"/>
          <w:lang w:val="en-US" w:eastAsia="zh-CN"/>
        </w:rPr>
      </w:pPr>
      <w:r>
        <w:rPr>
          <w:rFonts w:hint="eastAsia" w:cs="Times New Roman"/>
          <w:b w:val="0"/>
          <w:bCs w:val="0"/>
          <w:i w:val="0"/>
          <w:iCs w:val="0"/>
          <w:sz w:val="20"/>
          <w:szCs w:val="20"/>
          <w:highlight w:val="none"/>
          <w:lang w:val="en-US" w:eastAsia="zh-CN"/>
        </w:rPr>
        <w:t>Generally PC3 should be supported as in Table 2-8.</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US" w:eastAsia="zh-CN" w:bidi="ar-SA"/>
        </w:rPr>
        <w:t xml:space="preserve">2-8 </w:t>
      </w:r>
      <w:r>
        <w:rPr>
          <w:rFonts w:ascii="Arial" w:hAnsi="Arial" w:eastAsia="Times New Roman" w:cs="Times New Roman"/>
          <w:b/>
          <w:lang w:val="en-GB" w:eastAsia="en-GB" w:bidi="ar-SA"/>
        </w:rPr>
        <w:t xml:space="preserve"> UE Power Class</w:t>
      </w:r>
    </w:p>
    <w:tbl>
      <w:tblPr>
        <w:tblStyle w:val="17"/>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w:t>
            </w:r>
          </w:p>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band</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87</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88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REFSENS, we prefer to reuse the REFSENS for E-UTRA band 87 and 88. </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hint="eastAsia" w:ascii="Arial" w:hAnsi="Arial" w:eastAsia="宋体" w:cs="Times New Roman"/>
          <w:b/>
          <w:lang w:val="en-US" w:eastAsia="zh-CN" w:bidi="ar-SA"/>
        </w:rPr>
        <w:t>T</w:t>
      </w:r>
      <w:r>
        <w:rPr>
          <w:rFonts w:ascii="Arial" w:hAnsi="Arial" w:eastAsia="Times New Roman" w:cs="Times New Roman"/>
          <w:b/>
          <w:lang w:val="en-GB" w:eastAsia="en-GB" w:bidi="ar-SA"/>
        </w:rPr>
        <w:t xml:space="preserve">able </w:t>
      </w:r>
      <w:r>
        <w:rPr>
          <w:rFonts w:hint="eastAsia" w:ascii="Arial" w:hAnsi="Arial" w:eastAsia="宋体" w:cs="Times New Roman"/>
          <w:b/>
          <w:lang w:val="en-US" w:eastAsia="zh-CN" w:bidi="ar-SA"/>
        </w:rPr>
        <w:t xml:space="preserve">2-9 </w:t>
      </w:r>
      <w:r>
        <w:rPr>
          <w:rFonts w:ascii="Arial" w:hAnsi="Arial" w:eastAsia="Times New Roman" w:cs="Times New Roman"/>
          <w:b/>
          <w:lang w:val="en-GB" w:eastAsia="en-GB" w:bidi="ar-SA"/>
        </w:rPr>
        <w:t xml:space="preserve"> Two antenna port reference sensitivity QPSK PREFSENS for FDD bands</w:t>
      </w:r>
    </w:p>
    <w:tbl>
      <w:tblPr>
        <w:tblStyle w:val="17"/>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SCS kHz</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lang w:val="en-US" w:eastAsia="zh-CN" w:bidi="ar-SA"/>
              </w:rPr>
            </w:pPr>
            <w:r>
              <w:rPr>
                <w:rFonts w:ascii="Arial" w:hAnsi="Arial" w:eastAsia="PMingLiU" w:cs="Times New Roman"/>
                <w:sz w:val="18"/>
                <w:lang w:val="en-US" w:eastAsia="en-GB" w:bidi="ar-SA"/>
              </w:rPr>
              <w:t>n</w:t>
            </w:r>
            <w:r>
              <w:rPr>
                <w:rFonts w:hint="eastAsia" w:ascii="Arial" w:hAnsi="Arial" w:eastAsia="宋体" w:cs="Times New Roman"/>
                <w:sz w:val="18"/>
                <w:lang w:val="en-US" w:eastAsia="zh-CN" w:bidi="ar-SA"/>
              </w:rPr>
              <w:t>87</w:t>
            </w:r>
          </w:p>
        </w:tc>
        <w:tc>
          <w:tcPr>
            <w:tcW w:w="629"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814"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lang w:val="en-US" w:eastAsia="zh-CN" w:bidi="ar-SA"/>
              </w:rPr>
            </w:pPr>
            <w:r>
              <w:rPr>
                <w:rFonts w:ascii="Arial" w:hAnsi="Arial" w:eastAsia="PMingLiU" w:cs="Times New Roman"/>
                <w:sz w:val="18"/>
                <w:lang w:val="en-US" w:eastAsia="en-GB" w:bidi="ar-SA"/>
              </w:rPr>
              <w:t>n</w:t>
            </w:r>
            <w:r>
              <w:rPr>
                <w:rFonts w:hint="eastAsia" w:ascii="Arial" w:hAnsi="Arial" w:eastAsia="宋体" w:cs="Times New Roman"/>
                <w:sz w:val="18"/>
                <w:lang w:val="en-US" w:eastAsia="zh-CN" w:bidi="ar-SA"/>
              </w:rPr>
              <w:t>88</w:t>
            </w:r>
          </w:p>
        </w:tc>
        <w:tc>
          <w:tcPr>
            <w:tcW w:w="629"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c>
          <w:tcPr>
            <w:tcW w:w="814"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lang w:val="en-US" w:eastAsia="en-GB" w:bidi="ar-SA"/>
              </w:rPr>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Approve Table 2-8 and Table 2-9 on RF requirements for new Rel-19 specification.</w:t>
      </w:r>
    </w:p>
    <w:p>
      <w:pPr>
        <w:keepNext w:val="0"/>
        <w:keepLines w:val="0"/>
        <w:pageBreakBefore w:val="0"/>
        <w:widowControl/>
        <w:numPr>
          <w:ilvl w:val="0"/>
          <w:numId w:val="8"/>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Blocking characteristics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宋体"/>
          <w:lang w:val="en-US" w:eastAsia="zh-CN"/>
        </w:rPr>
      </w:pPr>
      <w:r>
        <w:rPr>
          <w:rFonts w:hint="eastAsia" w:cs="Times New Roman"/>
          <w:b w:val="0"/>
          <w:bCs w:val="0"/>
          <w:i w:val="0"/>
          <w:iCs w:val="0"/>
          <w:sz w:val="20"/>
          <w:szCs w:val="20"/>
          <w:highlight w:val="none"/>
          <w:lang w:val="en-US" w:eastAsia="zh-CN"/>
        </w:rPr>
        <w:t xml:space="preserve">For IBB and OBB which are band specific, we need to add n87 and n88 into </w:t>
      </w:r>
      <w:r>
        <w:t>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r>
        <w:rPr>
          <w:rFonts w:hint="eastAsia" w:eastAsia="宋体"/>
          <w:lang w:val="en-US" w:eastAsia="zh-CN"/>
        </w:rPr>
        <w:t xml:space="preserve"> tables. For NBB which is also band specific, we need to add n87 and n88 into the NBB table.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Add n87, n88 into </w:t>
      </w:r>
      <w:r>
        <w:rPr>
          <w:b/>
          <w:bCs/>
        </w:rPr>
        <w:t>F</w:t>
      </w:r>
      <w:r>
        <w:rPr>
          <w:b/>
          <w:bCs/>
          <w:vertAlign w:val="subscript"/>
        </w:rPr>
        <w:t xml:space="preserve">DL_high </w:t>
      </w:r>
      <w:r>
        <w:rPr>
          <w:rFonts w:cs="Arial"/>
          <w:b/>
          <w:bCs/>
        </w:rPr>
        <w:t>&lt;</w:t>
      </w:r>
      <w:r>
        <w:rPr>
          <w:b/>
          <w:bCs/>
        </w:rPr>
        <w:t xml:space="preserve"> 2700 MHz and F</w:t>
      </w:r>
      <w:r>
        <w:rPr>
          <w:b/>
          <w:bCs/>
          <w:vertAlign w:val="subscript"/>
        </w:rPr>
        <w:t xml:space="preserve">UL_high </w:t>
      </w:r>
      <w:r>
        <w:rPr>
          <w:rFonts w:cs="Arial"/>
          <w:b/>
          <w:bCs/>
        </w:rPr>
        <w:t>&lt;</w:t>
      </w:r>
      <w:r>
        <w:rPr>
          <w:b/>
          <w:bCs/>
        </w:rPr>
        <w:t xml:space="preserve"> 2700 MHz</w:t>
      </w:r>
      <w:r>
        <w:rPr>
          <w:rFonts w:hint="eastAsia" w:eastAsia="宋体"/>
          <w:b/>
          <w:bCs/>
          <w:lang w:val="en-US" w:eastAsia="zh-CN"/>
        </w:rPr>
        <w:t xml:space="preserve"> tables</w:t>
      </w:r>
      <w:r>
        <w:rPr>
          <w:rFonts w:hint="eastAsia" w:cs="Times New Roman"/>
          <w:b/>
          <w:bCs/>
          <w:i w:val="0"/>
          <w:iCs w:val="0"/>
          <w:sz w:val="20"/>
          <w:szCs w:val="20"/>
          <w:highlight w:val="none"/>
          <w:lang w:val="en-US" w:eastAsia="zh-CN"/>
        </w:rPr>
        <w:t xml:space="preserve"> for IBB and OBB, and add n87, n88 into NBB table for new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Approve Table 2-1 to Table 2-7 on system parameters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Approve Table 2-8 and Table 2-9 on RF requirements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Add n87, n88 into </w:t>
      </w:r>
      <w:r>
        <w:rPr>
          <w:b/>
          <w:bCs/>
        </w:rPr>
        <w:t>F</w:t>
      </w:r>
      <w:r>
        <w:rPr>
          <w:b/>
          <w:bCs/>
          <w:vertAlign w:val="subscript"/>
        </w:rPr>
        <w:t xml:space="preserve">DL_high </w:t>
      </w:r>
      <w:r>
        <w:rPr>
          <w:rFonts w:cs="Arial"/>
          <w:b/>
          <w:bCs/>
        </w:rPr>
        <w:t>&lt;</w:t>
      </w:r>
      <w:r>
        <w:rPr>
          <w:b/>
          <w:bCs/>
        </w:rPr>
        <w:t xml:space="preserve"> 2700 MHz and F</w:t>
      </w:r>
      <w:r>
        <w:rPr>
          <w:b/>
          <w:bCs/>
          <w:vertAlign w:val="subscript"/>
        </w:rPr>
        <w:t xml:space="preserve">UL_high </w:t>
      </w:r>
      <w:r>
        <w:rPr>
          <w:rFonts w:cs="Arial"/>
          <w:b/>
          <w:bCs/>
        </w:rPr>
        <w:t>&lt;</w:t>
      </w:r>
      <w:r>
        <w:rPr>
          <w:b/>
          <w:bCs/>
        </w:rPr>
        <w:t xml:space="preserve"> 2700 MHz</w:t>
      </w:r>
      <w:r>
        <w:rPr>
          <w:rFonts w:hint="eastAsia" w:eastAsia="宋体"/>
          <w:b/>
          <w:bCs/>
          <w:lang w:val="en-US" w:eastAsia="zh-CN"/>
        </w:rPr>
        <w:t xml:space="preserve"> tables</w:t>
      </w:r>
      <w:r>
        <w:rPr>
          <w:rFonts w:hint="eastAsia" w:cs="Times New Roman"/>
          <w:b/>
          <w:bCs/>
          <w:i w:val="0"/>
          <w:iCs w:val="0"/>
          <w:sz w:val="20"/>
          <w:szCs w:val="20"/>
          <w:highlight w:val="none"/>
          <w:lang w:val="en-US" w:eastAsia="zh-CN"/>
        </w:rPr>
        <w:t xml:space="preserve"> for IBB and OBB, and add n87, n88 into NBB table for new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9"/>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RP-241663 New WID on introduction of NR bands n87 and n88.</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C158C3"/>
    <w:multiLevelType w:val="multilevel"/>
    <w:tmpl w:val="09C158C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9EC4FAF"/>
    <w:multiLevelType w:val="singleLevel"/>
    <w:tmpl w:val="09EC4FAF"/>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9E72DB9"/>
    <w:multiLevelType w:val="multilevel"/>
    <w:tmpl w:val="29E72DB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A3A6807"/>
    <w:multiLevelType w:val="singleLevel"/>
    <w:tmpl w:val="2A3A6807"/>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A61DBB0"/>
    <w:multiLevelType w:val="singleLevel"/>
    <w:tmpl w:val="5A61DBB0"/>
    <w:lvl w:ilvl="0" w:tentative="0">
      <w:start w:val="1"/>
      <w:numFmt w:val="decimal"/>
      <w:suff w:val="space"/>
      <w:lvlText w:val="[%1]"/>
      <w:lvlJc w:val="left"/>
      <w:rPr>
        <w:rFonts w:hint="default"/>
        <w:b w:val="0"/>
        <w:bCs w:val="0"/>
      </w:rPr>
    </w:lvl>
  </w:abstractNum>
  <w:abstractNum w:abstractNumId="7">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6F591BF9"/>
    <w:multiLevelType w:val="singleLevel"/>
    <w:tmpl w:val="6F591BF9"/>
    <w:lvl w:ilvl="0" w:tentative="0">
      <w:start w:val="1"/>
      <w:numFmt w:val="decimal"/>
      <w:suff w:val="space"/>
      <w:lvlText w:val="%1."/>
      <w:lvlJc w:val="left"/>
    </w:lvl>
  </w:abstractNum>
  <w:num w:numId="1">
    <w:abstractNumId w:val="7"/>
  </w:num>
  <w:num w:numId="2">
    <w:abstractNumId w:val="5"/>
  </w:num>
  <w:num w:numId="3">
    <w:abstractNumId w:val="2"/>
  </w:num>
  <w:num w:numId="4">
    <w:abstractNumId w:val="3"/>
  </w:num>
  <w:num w:numId="5">
    <w:abstractNumId w:val="0"/>
  </w:num>
  <w:num w:numId="6">
    <w:abstractNumId w:val="1"/>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475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67462C"/>
    <w:rsid w:val="01795E27"/>
    <w:rsid w:val="0180738E"/>
    <w:rsid w:val="018833AD"/>
    <w:rsid w:val="018A2647"/>
    <w:rsid w:val="018B3BAA"/>
    <w:rsid w:val="01945324"/>
    <w:rsid w:val="01957959"/>
    <w:rsid w:val="01BA0053"/>
    <w:rsid w:val="01CA556D"/>
    <w:rsid w:val="01DB7918"/>
    <w:rsid w:val="01DC1C82"/>
    <w:rsid w:val="01DC200E"/>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040477"/>
    <w:rsid w:val="04156C27"/>
    <w:rsid w:val="042B1DF5"/>
    <w:rsid w:val="043D2559"/>
    <w:rsid w:val="045D198A"/>
    <w:rsid w:val="046555A2"/>
    <w:rsid w:val="046824A8"/>
    <w:rsid w:val="04762AE0"/>
    <w:rsid w:val="0478015E"/>
    <w:rsid w:val="04B43FA7"/>
    <w:rsid w:val="04BF26EE"/>
    <w:rsid w:val="04D16755"/>
    <w:rsid w:val="04D20004"/>
    <w:rsid w:val="04E54CF2"/>
    <w:rsid w:val="04EB6A3A"/>
    <w:rsid w:val="04F46C46"/>
    <w:rsid w:val="04FC2C75"/>
    <w:rsid w:val="050F2775"/>
    <w:rsid w:val="05143195"/>
    <w:rsid w:val="0526729B"/>
    <w:rsid w:val="053D2C92"/>
    <w:rsid w:val="05402104"/>
    <w:rsid w:val="054248F2"/>
    <w:rsid w:val="05492E9A"/>
    <w:rsid w:val="05510DD1"/>
    <w:rsid w:val="05533CBE"/>
    <w:rsid w:val="05685D6B"/>
    <w:rsid w:val="056A64DA"/>
    <w:rsid w:val="05785C74"/>
    <w:rsid w:val="05847419"/>
    <w:rsid w:val="058704DA"/>
    <w:rsid w:val="059160D0"/>
    <w:rsid w:val="0599193D"/>
    <w:rsid w:val="05AE018C"/>
    <w:rsid w:val="05B32ECD"/>
    <w:rsid w:val="05FE477C"/>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F36A7A"/>
    <w:rsid w:val="070F3D15"/>
    <w:rsid w:val="07122035"/>
    <w:rsid w:val="07171551"/>
    <w:rsid w:val="071D753B"/>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7F3183B"/>
    <w:rsid w:val="0818374A"/>
    <w:rsid w:val="08230B3B"/>
    <w:rsid w:val="082A2AD6"/>
    <w:rsid w:val="08315282"/>
    <w:rsid w:val="085145EC"/>
    <w:rsid w:val="085C2CEC"/>
    <w:rsid w:val="085D2367"/>
    <w:rsid w:val="085E5DBE"/>
    <w:rsid w:val="086C5FBC"/>
    <w:rsid w:val="08721912"/>
    <w:rsid w:val="087B0F4C"/>
    <w:rsid w:val="087C4EF8"/>
    <w:rsid w:val="088467B6"/>
    <w:rsid w:val="089A1F2A"/>
    <w:rsid w:val="08AD5856"/>
    <w:rsid w:val="08C13553"/>
    <w:rsid w:val="08C3786B"/>
    <w:rsid w:val="08C46EED"/>
    <w:rsid w:val="08C71DC3"/>
    <w:rsid w:val="08CA745A"/>
    <w:rsid w:val="08D538D0"/>
    <w:rsid w:val="08DF069E"/>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A63EE"/>
    <w:rsid w:val="0A4B6F30"/>
    <w:rsid w:val="0A665D1E"/>
    <w:rsid w:val="0A731B50"/>
    <w:rsid w:val="0A8D4756"/>
    <w:rsid w:val="0A8E34E6"/>
    <w:rsid w:val="0AB60DEE"/>
    <w:rsid w:val="0AC9278E"/>
    <w:rsid w:val="0AE650E0"/>
    <w:rsid w:val="0AED4366"/>
    <w:rsid w:val="0B1A3243"/>
    <w:rsid w:val="0B2E106F"/>
    <w:rsid w:val="0B2F5F6B"/>
    <w:rsid w:val="0B3E5ECD"/>
    <w:rsid w:val="0B5950D6"/>
    <w:rsid w:val="0B5B4241"/>
    <w:rsid w:val="0B61638C"/>
    <w:rsid w:val="0B724963"/>
    <w:rsid w:val="0B725220"/>
    <w:rsid w:val="0B7D64C0"/>
    <w:rsid w:val="0B802D0D"/>
    <w:rsid w:val="0B8D5FD9"/>
    <w:rsid w:val="0B9641FD"/>
    <w:rsid w:val="0B9A6376"/>
    <w:rsid w:val="0B9C3E91"/>
    <w:rsid w:val="0BC176FB"/>
    <w:rsid w:val="0BE079EF"/>
    <w:rsid w:val="0BF37D09"/>
    <w:rsid w:val="0BF41031"/>
    <w:rsid w:val="0C0C5682"/>
    <w:rsid w:val="0C1D57F9"/>
    <w:rsid w:val="0C2D251E"/>
    <w:rsid w:val="0C3B3B55"/>
    <w:rsid w:val="0C536A26"/>
    <w:rsid w:val="0C684AC1"/>
    <w:rsid w:val="0C7962B1"/>
    <w:rsid w:val="0C7A666C"/>
    <w:rsid w:val="0C7D5162"/>
    <w:rsid w:val="0C867BFF"/>
    <w:rsid w:val="0C953742"/>
    <w:rsid w:val="0CA242EA"/>
    <w:rsid w:val="0CA971D2"/>
    <w:rsid w:val="0CB10B0C"/>
    <w:rsid w:val="0CB30E04"/>
    <w:rsid w:val="0CC66B41"/>
    <w:rsid w:val="0CDC08AE"/>
    <w:rsid w:val="0CDF4A88"/>
    <w:rsid w:val="0CE077FD"/>
    <w:rsid w:val="0CFE14DA"/>
    <w:rsid w:val="0D141518"/>
    <w:rsid w:val="0D1561A4"/>
    <w:rsid w:val="0D225A10"/>
    <w:rsid w:val="0D2706A2"/>
    <w:rsid w:val="0D3B5CCB"/>
    <w:rsid w:val="0D495A0D"/>
    <w:rsid w:val="0D4D2BE5"/>
    <w:rsid w:val="0D613BA3"/>
    <w:rsid w:val="0D744565"/>
    <w:rsid w:val="0D78361E"/>
    <w:rsid w:val="0D7F564D"/>
    <w:rsid w:val="0D835665"/>
    <w:rsid w:val="0D8760F3"/>
    <w:rsid w:val="0D8850A5"/>
    <w:rsid w:val="0D955077"/>
    <w:rsid w:val="0D957F13"/>
    <w:rsid w:val="0DB243FB"/>
    <w:rsid w:val="0DC3083F"/>
    <w:rsid w:val="0DDB3390"/>
    <w:rsid w:val="0DDC50DA"/>
    <w:rsid w:val="0DE052FE"/>
    <w:rsid w:val="0DFF2B1F"/>
    <w:rsid w:val="0E08297D"/>
    <w:rsid w:val="0E214766"/>
    <w:rsid w:val="0E2340BB"/>
    <w:rsid w:val="0E3330D0"/>
    <w:rsid w:val="0E3916C1"/>
    <w:rsid w:val="0E440278"/>
    <w:rsid w:val="0E4E5304"/>
    <w:rsid w:val="0E537C3C"/>
    <w:rsid w:val="0E5576D4"/>
    <w:rsid w:val="0E7519BC"/>
    <w:rsid w:val="0E77636A"/>
    <w:rsid w:val="0E7A79F2"/>
    <w:rsid w:val="0E8310B2"/>
    <w:rsid w:val="0E992415"/>
    <w:rsid w:val="0E9E4D5A"/>
    <w:rsid w:val="0EAA7EC3"/>
    <w:rsid w:val="0EC36C70"/>
    <w:rsid w:val="0EC81E9E"/>
    <w:rsid w:val="0EC82AA3"/>
    <w:rsid w:val="0ECE66B5"/>
    <w:rsid w:val="0EDC2C57"/>
    <w:rsid w:val="0EE5481D"/>
    <w:rsid w:val="0EF72277"/>
    <w:rsid w:val="0EFC7665"/>
    <w:rsid w:val="0F0B1AB9"/>
    <w:rsid w:val="0F11785B"/>
    <w:rsid w:val="0F193A29"/>
    <w:rsid w:val="0F21557B"/>
    <w:rsid w:val="0F372967"/>
    <w:rsid w:val="0F3747E7"/>
    <w:rsid w:val="0F3D56F1"/>
    <w:rsid w:val="0F5107D2"/>
    <w:rsid w:val="0F5413E6"/>
    <w:rsid w:val="0F5963C8"/>
    <w:rsid w:val="0F7770B6"/>
    <w:rsid w:val="0F8F0E66"/>
    <w:rsid w:val="0F906704"/>
    <w:rsid w:val="0FDA7DDA"/>
    <w:rsid w:val="0FF721A8"/>
    <w:rsid w:val="0FFA1150"/>
    <w:rsid w:val="10490BAD"/>
    <w:rsid w:val="10644F61"/>
    <w:rsid w:val="106C0466"/>
    <w:rsid w:val="108F05CA"/>
    <w:rsid w:val="109241A4"/>
    <w:rsid w:val="109615A9"/>
    <w:rsid w:val="109658C1"/>
    <w:rsid w:val="10A81A96"/>
    <w:rsid w:val="10D6699E"/>
    <w:rsid w:val="10E63E4A"/>
    <w:rsid w:val="11104883"/>
    <w:rsid w:val="11291D63"/>
    <w:rsid w:val="112D72C6"/>
    <w:rsid w:val="11321BC4"/>
    <w:rsid w:val="113F3856"/>
    <w:rsid w:val="11683FF9"/>
    <w:rsid w:val="118038D3"/>
    <w:rsid w:val="118C0750"/>
    <w:rsid w:val="11A228E7"/>
    <w:rsid w:val="11A50508"/>
    <w:rsid w:val="11A63D04"/>
    <w:rsid w:val="11FD3DC0"/>
    <w:rsid w:val="120639A8"/>
    <w:rsid w:val="12121726"/>
    <w:rsid w:val="122250B4"/>
    <w:rsid w:val="123135AD"/>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7F4008"/>
    <w:rsid w:val="13866322"/>
    <w:rsid w:val="1390333E"/>
    <w:rsid w:val="139C110B"/>
    <w:rsid w:val="13A51648"/>
    <w:rsid w:val="13BE3B38"/>
    <w:rsid w:val="13C30FC1"/>
    <w:rsid w:val="13C90583"/>
    <w:rsid w:val="13CD4D8B"/>
    <w:rsid w:val="13D15059"/>
    <w:rsid w:val="13E476E4"/>
    <w:rsid w:val="13F672DD"/>
    <w:rsid w:val="13FB7B95"/>
    <w:rsid w:val="13FF44D4"/>
    <w:rsid w:val="14064E69"/>
    <w:rsid w:val="140A2CA4"/>
    <w:rsid w:val="140C5848"/>
    <w:rsid w:val="1415743A"/>
    <w:rsid w:val="141B497D"/>
    <w:rsid w:val="14480142"/>
    <w:rsid w:val="144E5CD4"/>
    <w:rsid w:val="145B0E4C"/>
    <w:rsid w:val="145F0D59"/>
    <w:rsid w:val="14627312"/>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5E010D"/>
    <w:rsid w:val="156063FA"/>
    <w:rsid w:val="156F1F39"/>
    <w:rsid w:val="157674F6"/>
    <w:rsid w:val="157A419A"/>
    <w:rsid w:val="158270AF"/>
    <w:rsid w:val="158C2B13"/>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672D6"/>
    <w:rsid w:val="161C6FCA"/>
    <w:rsid w:val="161D609B"/>
    <w:rsid w:val="16271D63"/>
    <w:rsid w:val="162A3755"/>
    <w:rsid w:val="164B1111"/>
    <w:rsid w:val="1654369C"/>
    <w:rsid w:val="165B2ECB"/>
    <w:rsid w:val="165E7351"/>
    <w:rsid w:val="1661285E"/>
    <w:rsid w:val="167A7800"/>
    <w:rsid w:val="16B22BC5"/>
    <w:rsid w:val="16BA2E55"/>
    <w:rsid w:val="16BD2FB9"/>
    <w:rsid w:val="16C05D40"/>
    <w:rsid w:val="16C9246D"/>
    <w:rsid w:val="16D96177"/>
    <w:rsid w:val="16DB2490"/>
    <w:rsid w:val="16DE0A1B"/>
    <w:rsid w:val="16E7731D"/>
    <w:rsid w:val="16EE2B7A"/>
    <w:rsid w:val="17060D55"/>
    <w:rsid w:val="1723727A"/>
    <w:rsid w:val="17276F5B"/>
    <w:rsid w:val="173A7510"/>
    <w:rsid w:val="174F4BA1"/>
    <w:rsid w:val="1764674F"/>
    <w:rsid w:val="176C095E"/>
    <w:rsid w:val="17776868"/>
    <w:rsid w:val="178F5381"/>
    <w:rsid w:val="179425B4"/>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9385F"/>
    <w:rsid w:val="186A7F3C"/>
    <w:rsid w:val="188A0D46"/>
    <w:rsid w:val="188D7449"/>
    <w:rsid w:val="189553E8"/>
    <w:rsid w:val="189A62E8"/>
    <w:rsid w:val="18AC426F"/>
    <w:rsid w:val="18D76F2C"/>
    <w:rsid w:val="18DA672E"/>
    <w:rsid w:val="18EF4764"/>
    <w:rsid w:val="18F279A0"/>
    <w:rsid w:val="18F5507D"/>
    <w:rsid w:val="191372F1"/>
    <w:rsid w:val="191F2375"/>
    <w:rsid w:val="192A6B82"/>
    <w:rsid w:val="192A78E5"/>
    <w:rsid w:val="192C06DB"/>
    <w:rsid w:val="192E161C"/>
    <w:rsid w:val="19607D81"/>
    <w:rsid w:val="19640C89"/>
    <w:rsid w:val="196B73C9"/>
    <w:rsid w:val="197D1DB8"/>
    <w:rsid w:val="199503FD"/>
    <w:rsid w:val="19A45D24"/>
    <w:rsid w:val="19AF5CF6"/>
    <w:rsid w:val="19C63D4F"/>
    <w:rsid w:val="19C65E12"/>
    <w:rsid w:val="19C735BB"/>
    <w:rsid w:val="19DA3A4C"/>
    <w:rsid w:val="19EF3BE4"/>
    <w:rsid w:val="19F256A0"/>
    <w:rsid w:val="1A031334"/>
    <w:rsid w:val="1A0A0564"/>
    <w:rsid w:val="1A1D1EC7"/>
    <w:rsid w:val="1A3F5603"/>
    <w:rsid w:val="1A454D8D"/>
    <w:rsid w:val="1A531553"/>
    <w:rsid w:val="1A5E6386"/>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6010D"/>
    <w:rsid w:val="1B0D5CFB"/>
    <w:rsid w:val="1B2516D5"/>
    <w:rsid w:val="1B2B089B"/>
    <w:rsid w:val="1B371569"/>
    <w:rsid w:val="1B384D1E"/>
    <w:rsid w:val="1B3C4343"/>
    <w:rsid w:val="1B3F102F"/>
    <w:rsid w:val="1B4E4B33"/>
    <w:rsid w:val="1B4E745B"/>
    <w:rsid w:val="1B6B549A"/>
    <w:rsid w:val="1B7555F3"/>
    <w:rsid w:val="1B7E5BC4"/>
    <w:rsid w:val="1B870B5B"/>
    <w:rsid w:val="1B8B6B38"/>
    <w:rsid w:val="1B9A27F5"/>
    <w:rsid w:val="1BA220C5"/>
    <w:rsid w:val="1BA71412"/>
    <w:rsid w:val="1BBC09F6"/>
    <w:rsid w:val="1BBE4801"/>
    <w:rsid w:val="1BC7007B"/>
    <w:rsid w:val="1BD34730"/>
    <w:rsid w:val="1BDF455D"/>
    <w:rsid w:val="1BEE6734"/>
    <w:rsid w:val="1C024980"/>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D134F1F"/>
    <w:rsid w:val="1D186F9D"/>
    <w:rsid w:val="1D1C598A"/>
    <w:rsid w:val="1D504421"/>
    <w:rsid w:val="1D7E7249"/>
    <w:rsid w:val="1D7F6660"/>
    <w:rsid w:val="1D956B63"/>
    <w:rsid w:val="1DA155EF"/>
    <w:rsid w:val="1DA251E1"/>
    <w:rsid w:val="1DA67F64"/>
    <w:rsid w:val="1DA93704"/>
    <w:rsid w:val="1DB875D1"/>
    <w:rsid w:val="1DC5127B"/>
    <w:rsid w:val="1DD3267D"/>
    <w:rsid w:val="1DDE1A57"/>
    <w:rsid w:val="1DE4729F"/>
    <w:rsid w:val="1DF679C8"/>
    <w:rsid w:val="1E224F27"/>
    <w:rsid w:val="1E2A7432"/>
    <w:rsid w:val="1E343C5D"/>
    <w:rsid w:val="1E37411F"/>
    <w:rsid w:val="1E407993"/>
    <w:rsid w:val="1E550FE0"/>
    <w:rsid w:val="1E5E301B"/>
    <w:rsid w:val="1E634732"/>
    <w:rsid w:val="1E752FA6"/>
    <w:rsid w:val="1E77318B"/>
    <w:rsid w:val="1EB632B7"/>
    <w:rsid w:val="1EC80D34"/>
    <w:rsid w:val="1ECF1323"/>
    <w:rsid w:val="1ECF4A99"/>
    <w:rsid w:val="1EDC33BC"/>
    <w:rsid w:val="1EF72D37"/>
    <w:rsid w:val="1F211865"/>
    <w:rsid w:val="1F295D72"/>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1E0122"/>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1A5AC0"/>
    <w:rsid w:val="21297D3A"/>
    <w:rsid w:val="212E17DE"/>
    <w:rsid w:val="213271D8"/>
    <w:rsid w:val="213E655D"/>
    <w:rsid w:val="214D4FE0"/>
    <w:rsid w:val="215026E7"/>
    <w:rsid w:val="21592706"/>
    <w:rsid w:val="21637931"/>
    <w:rsid w:val="216D7544"/>
    <w:rsid w:val="21712A16"/>
    <w:rsid w:val="21825FF7"/>
    <w:rsid w:val="218E2266"/>
    <w:rsid w:val="21900AEB"/>
    <w:rsid w:val="2194776B"/>
    <w:rsid w:val="21B80AA5"/>
    <w:rsid w:val="21C42F62"/>
    <w:rsid w:val="21D2685E"/>
    <w:rsid w:val="2214054C"/>
    <w:rsid w:val="221703FC"/>
    <w:rsid w:val="222A0690"/>
    <w:rsid w:val="222A56CF"/>
    <w:rsid w:val="22305995"/>
    <w:rsid w:val="225216B5"/>
    <w:rsid w:val="225E20C5"/>
    <w:rsid w:val="22623CF6"/>
    <w:rsid w:val="2270107F"/>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8192D"/>
    <w:rsid w:val="22DE275C"/>
    <w:rsid w:val="22F05B87"/>
    <w:rsid w:val="23034661"/>
    <w:rsid w:val="23047581"/>
    <w:rsid w:val="230511FB"/>
    <w:rsid w:val="230A7C6A"/>
    <w:rsid w:val="230E6CDE"/>
    <w:rsid w:val="231D7D99"/>
    <w:rsid w:val="233F7861"/>
    <w:rsid w:val="2342728C"/>
    <w:rsid w:val="234F141B"/>
    <w:rsid w:val="235408E6"/>
    <w:rsid w:val="236F7B2F"/>
    <w:rsid w:val="23774488"/>
    <w:rsid w:val="23A308EE"/>
    <w:rsid w:val="23AD2144"/>
    <w:rsid w:val="23B07449"/>
    <w:rsid w:val="23BB4EE9"/>
    <w:rsid w:val="23CC55B1"/>
    <w:rsid w:val="23D60547"/>
    <w:rsid w:val="23DA1C5E"/>
    <w:rsid w:val="23EB0393"/>
    <w:rsid w:val="23EC61B5"/>
    <w:rsid w:val="23FD5BE3"/>
    <w:rsid w:val="24026629"/>
    <w:rsid w:val="24072EA9"/>
    <w:rsid w:val="242420FA"/>
    <w:rsid w:val="2438587A"/>
    <w:rsid w:val="24386853"/>
    <w:rsid w:val="243E50DA"/>
    <w:rsid w:val="24535E21"/>
    <w:rsid w:val="246D212F"/>
    <w:rsid w:val="24715F69"/>
    <w:rsid w:val="24760A5D"/>
    <w:rsid w:val="24992B5E"/>
    <w:rsid w:val="24996A95"/>
    <w:rsid w:val="24A9218A"/>
    <w:rsid w:val="24B140D4"/>
    <w:rsid w:val="24B33FFF"/>
    <w:rsid w:val="24BE0177"/>
    <w:rsid w:val="24C569C9"/>
    <w:rsid w:val="24DE7825"/>
    <w:rsid w:val="24E61F36"/>
    <w:rsid w:val="24F17095"/>
    <w:rsid w:val="24F214B5"/>
    <w:rsid w:val="24F35147"/>
    <w:rsid w:val="24F907DC"/>
    <w:rsid w:val="250D35C2"/>
    <w:rsid w:val="252437DA"/>
    <w:rsid w:val="252A03F9"/>
    <w:rsid w:val="252F365E"/>
    <w:rsid w:val="25324A24"/>
    <w:rsid w:val="25560FB4"/>
    <w:rsid w:val="255B68D6"/>
    <w:rsid w:val="256271F2"/>
    <w:rsid w:val="256E3452"/>
    <w:rsid w:val="25821C68"/>
    <w:rsid w:val="258D3BA1"/>
    <w:rsid w:val="25AB45FB"/>
    <w:rsid w:val="25B022B3"/>
    <w:rsid w:val="25B74631"/>
    <w:rsid w:val="25B91E90"/>
    <w:rsid w:val="25C902CF"/>
    <w:rsid w:val="25DD4552"/>
    <w:rsid w:val="25E513D9"/>
    <w:rsid w:val="25EE6A79"/>
    <w:rsid w:val="25EF43C8"/>
    <w:rsid w:val="26075FA8"/>
    <w:rsid w:val="2623756A"/>
    <w:rsid w:val="262E08BF"/>
    <w:rsid w:val="26310EA6"/>
    <w:rsid w:val="263951B2"/>
    <w:rsid w:val="263E55AD"/>
    <w:rsid w:val="264B37D3"/>
    <w:rsid w:val="26544324"/>
    <w:rsid w:val="265B2B39"/>
    <w:rsid w:val="265F7A26"/>
    <w:rsid w:val="267F4FDD"/>
    <w:rsid w:val="26942FFE"/>
    <w:rsid w:val="26965DCF"/>
    <w:rsid w:val="269A23BD"/>
    <w:rsid w:val="26D609E2"/>
    <w:rsid w:val="26DE1868"/>
    <w:rsid w:val="26ED14DB"/>
    <w:rsid w:val="27073BB4"/>
    <w:rsid w:val="270F3C75"/>
    <w:rsid w:val="27157D13"/>
    <w:rsid w:val="27543CE2"/>
    <w:rsid w:val="2759230A"/>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DA0163"/>
    <w:rsid w:val="27ED6C77"/>
    <w:rsid w:val="27EF2EB7"/>
    <w:rsid w:val="27F84FA1"/>
    <w:rsid w:val="27FC6995"/>
    <w:rsid w:val="28096EEE"/>
    <w:rsid w:val="28140998"/>
    <w:rsid w:val="281C525D"/>
    <w:rsid w:val="283146AB"/>
    <w:rsid w:val="2834674F"/>
    <w:rsid w:val="28460713"/>
    <w:rsid w:val="28563053"/>
    <w:rsid w:val="28590369"/>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0C7130"/>
    <w:rsid w:val="29115557"/>
    <w:rsid w:val="29115F0D"/>
    <w:rsid w:val="291D162A"/>
    <w:rsid w:val="291F3AAD"/>
    <w:rsid w:val="291F4F8E"/>
    <w:rsid w:val="292278A9"/>
    <w:rsid w:val="29284E13"/>
    <w:rsid w:val="29307D6E"/>
    <w:rsid w:val="293262FA"/>
    <w:rsid w:val="293C6591"/>
    <w:rsid w:val="294D06B9"/>
    <w:rsid w:val="2957531C"/>
    <w:rsid w:val="2989655C"/>
    <w:rsid w:val="298C2425"/>
    <w:rsid w:val="29A113D7"/>
    <w:rsid w:val="29A14B0F"/>
    <w:rsid w:val="29C74C47"/>
    <w:rsid w:val="29CD4516"/>
    <w:rsid w:val="29E94589"/>
    <w:rsid w:val="2A155F81"/>
    <w:rsid w:val="2A1E2DE0"/>
    <w:rsid w:val="2A250847"/>
    <w:rsid w:val="2A261D32"/>
    <w:rsid w:val="2A2B222C"/>
    <w:rsid w:val="2A331695"/>
    <w:rsid w:val="2A442E66"/>
    <w:rsid w:val="2A4A1ED4"/>
    <w:rsid w:val="2A4A3445"/>
    <w:rsid w:val="2A553548"/>
    <w:rsid w:val="2A7049D1"/>
    <w:rsid w:val="2A960504"/>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50C7C"/>
    <w:rsid w:val="2BFB0E99"/>
    <w:rsid w:val="2C07332F"/>
    <w:rsid w:val="2C0B5FFC"/>
    <w:rsid w:val="2C0C4D11"/>
    <w:rsid w:val="2C1A5D63"/>
    <w:rsid w:val="2C2907BF"/>
    <w:rsid w:val="2C2A3701"/>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5F0EBB"/>
    <w:rsid w:val="2D61248D"/>
    <w:rsid w:val="2D68440E"/>
    <w:rsid w:val="2D6D5152"/>
    <w:rsid w:val="2D7B73B1"/>
    <w:rsid w:val="2D812190"/>
    <w:rsid w:val="2DA94150"/>
    <w:rsid w:val="2DBB0B00"/>
    <w:rsid w:val="2DD854F5"/>
    <w:rsid w:val="2DEA643F"/>
    <w:rsid w:val="2E000AC6"/>
    <w:rsid w:val="2E0C79CF"/>
    <w:rsid w:val="2E1176AC"/>
    <w:rsid w:val="2E1F06AB"/>
    <w:rsid w:val="2E26750E"/>
    <w:rsid w:val="2E2701FF"/>
    <w:rsid w:val="2E273353"/>
    <w:rsid w:val="2E2D216F"/>
    <w:rsid w:val="2E3E4C3A"/>
    <w:rsid w:val="2E434249"/>
    <w:rsid w:val="2E51332D"/>
    <w:rsid w:val="2E613ECA"/>
    <w:rsid w:val="2E663F09"/>
    <w:rsid w:val="2EA4705E"/>
    <w:rsid w:val="2EA5244A"/>
    <w:rsid w:val="2EC872A0"/>
    <w:rsid w:val="2ECB7AE0"/>
    <w:rsid w:val="2EEA1087"/>
    <w:rsid w:val="2EEF5B78"/>
    <w:rsid w:val="2EF90C24"/>
    <w:rsid w:val="2F0E5D72"/>
    <w:rsid w:val="2F104493"/>
    <w:rsid w:val="2F235269"/>
    <w:rsid w:val="2F322289"/>
    <w:rsid w:val="2F3770E3"/>
    <w:rsid w:val="2F413C94"/>
    <w:rsid w:val="2F494297"/>
    <w:rsid w:val="2F4B1C2D"/>
    <w:rsid w:val="2F691CE7"/>
    <w:rsid w:val="2F787B26"/>
    <w:rsid w:val="2F7D0DE5"/>
    <w:rsid w:val="2F7F3D54"/>
    <w:rsid w:val="2F8B2E0E"/>
    <w:rsid w:val="2F907976"/>
    <w:rsid w:val="2FA442D1"/>
    <w:rsid w:val="2FBA0848"/>
    <w:rsid w:val="2FC15AF9"/>
    <w:rsid w:val="2FCF12B0"/>
    <w:rsid w:val="2FDC4E75"/>
    <w:rsid w:val="301334D4"/>
    <w:rsid w:val="302C5AB3"/>
    <w:rsid w:val="302F30EA"/>
    <w:rsid w:val="304570D6"/>
    <w:rsid w:val="30523FBD"/>
    <w:rsid w:val="3056178E"/>
    <w:rsid w:val="30571C73"/>
    <w:rsid w:val="305F2DE8"/>
    <w:rsid w:val="305F610F"/>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37FC7"/>
    <w:rsid w:val="30F62D03"/>
    <w:rsid w:val="30FF1022"/>
    <w:rsid w:val="30FF1DEC"/>
    <w:rsid w:val="3103748A"/>
    <w:rsid w:val="310D7287"/>
    <w:rsid w:val="31180414"/>
    <w:rsid w:val="312C2F69"/>
    <w:rsid w:val="313A0372"/>
    <w:rsid w:val="31414D46"/>
    <w:rsid w:val="3162168B"/>
    <w:rsid w:val="316535BE"/>
    <w:rsid w:val="316C26E3"/>
    <w:rsid w:val="317B29B7"/>
    <w:rsid w:val="31A278E0"/>
    <w:rsid w:val="31A43590"/>
    <w:rsid w:val="31B6217A"/>
    <w:rsid w:val="31BF532C"/>
    <w:rsid w:val="31E57565"/>
    <w:rsid w:val="31EC2DDB"/>
    <w:rsid w:val="31F27F9B"/>
    <w:rsid w:val="31F72F19"/>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664E15"/>
    <w:rsid w:val="3373089A"/>
    <w:rsid w:val="33835F12"/>
    <w:rsid w:val="33883009"/>
    <w:rsid w:val="33917AD8"/>
    <w:rsid w:val="339433F2"/>
    <w:rsid w:val="339F751B"/>
    <w:rsid w:val="33B2596A"/>
    <w:rsid w:val="33BF1A08"/>
    <w:rsid w:val="33C65B01"/>
    <w:rsid w:val="33CC2F57"/>
    <w:rsid w:val="33D07732"/>
    <w:rsid w:val="33D44147"/>
    <w:rsid w:val="33DF3033"/>
    <w:rsid w:val="33F4106A"/>
    <w:rsid w:val="33F91674"/>
    <w:rsid w:val="33FA7A53"/>
    <w:rsid w:val="33FE59C9"/>
    <w:rsid w:val="34110FF9"/>
    <w:rsid w:val="3421003E"/>
    <w:rsid w:val="342542D1"/>
    <w:rsid w:val="342B07D0"/>
    <w:rsid w:val="3431732F"/>
    <w:rsid w:val="34385515"/>
    <w:rsid w:val="344175CA"/>
    <w:rsid w:val="345F4740"/>
    <w:rsid w:val="346C2BDC"/>
    <w:rsid w:val="346F0383"/>
    <w:rsid w:val="347A4842"/>
    <w:rsid w:val="347C1F8E"/>
    <w:rsid w:val="349260CF"/>
    <w:rsid w:val="349A14CC"/>
    <w:rsid w:val="349E15E4"/>
    <w:rsid w:val="349E7311"/>
    <w:rsid w:val="34AC3B1F"/>
    <w:rsid w:val="34E63221"/>
    <w:rsid w:val="34EA3595"/>
    <w:rsid w:val="34F31159"/>
    <w:rsid w:val="34F61BA3"/>
    <w:rsid w:val="35015811"/>
    <w:rsid w:val="35045109"/>
    <w:rsid w:val="35063773"/>
    <w:rsid w:val="350C0171"/>
    <w:rsid w:val="351F54F6"/>
    <w:rsid w:val="35314625"/>
    <w:rsid w:val="35317422"/>
    <w:rsid w:val="3533663A"/>
    <w:rsid w:val="35544143"/>
    <w:rsid w:val="3557388E"/>
    <w:rsid w:val="35580550"/>
    <w:rsid w:val="35684E72"/>
    <w:rsid w:val="357201A0"/>
    <w:rsid w:val="35830EE1"/>
    <w:rsid w:val="35AE4747"/>
    <w:rsid w:val="35CF53EA"/>
    <w:rsid w:val="35D34EB8"/>
    <w:rsid w:val="35D43768"/>
    <w:rsid w:val="35E71299"/>
    <w:rsid w:val="35E72F09"/>
    <w:rsid w:val="35F26505"/>
    <w:rsid w:val="35FD0561"/>
    <w:rsid w:val="361A0DD1"/>
    <w:rsid w:val="363A75C1"/>
    <w:rsid w:val="364B7CB4"/>
    <w:rsid w:val="368E7AA5"/>
    <w:rsid w:val="36950F43"/>
    <w:rsid w:val="3696201C"/>
    <w:rsid w:val="369938DF"/>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934D6"/>
    <w:rsid w:val="373C1BA5"/>
    <w:rsid w:val="373D426B"/>
    <w:rsid w:val="374D082D"/>
    <w:rsid w:val="37836450"/>
    <w:rsid w:val="378E57E2"/>
    <w:rsid w:val="379452EB"/>
    <w:rsid w:val="379874A5"/>
    <w:rsid w:val="379C6437"/>
    <w:rsid w:val="37A42BA6"/>
    <w:rsid w:val="37B67EF6"/>
    <w:rsid w:val="37BF2765"/>
    <w:rsid w:val="37C3034A"/>
    <w:rsid w:val="37C716ED"/>
    <w:rsid w:val="37CC5E94"/>
    <w:rsid w:val="37D664EB"/>
    <w:rsid w:val="38012801"/>
    <w:rsid w:val="380A2593"/>
    <w:rsid w:val="380F4764"/>
    <w:rsid w:val="380F6191"/>
    <w:rsid w:val="38166E46"/>
    <w:rsid w:val="381A0093"/>
    <w:rsid w:val="38317011"/>
    <w:rsid w:val="383266B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554EFB"/>
    <w:rsid w:val="39A12E64"/>
    <w:rsid w:val="39A27CFB"/>
    <w:rsid w:val="39AC270E"/>
    <w:rsid w:val="39BC72AB"/>
    <w:rsid w:val="39BF0DA5"/>
    <w:rsid w:val="39D073F5"/>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0C59EE"/>
    <w:rsid w:val="3B13533E"/>
    <w:rsid w:val="3B1D04C9"/>
    <w:rsid w:val="3B3F122D"/>
    <w:rsid w:val="3B564493"/>
    <w:rsid w:val="3B68666D"/>
    <w:rsid w:val="3B6E6574"/>
    <w:rsid w:val="3B7457AD"/>
    <w:rsid w:val="3B757385"/>
    <w:rsid w:val="3B7B144D"/>
    <w:rsid w:val="3B7F12F6"/>
    <w:rsid w:val="3B8108BE"/>
    <w:rsid w:val="3B920EC0"/>
    <w:rsid w:val="3B924465"/>
    <w:rsid w:val="3B9C5361"/>
    <w:rsid w:val="3BA53541"/>
    <w:rsid w:val="3BA94452"/>
    <w:rsid w:val="3BF70D48"/>
    <w:rsid w:val="3BFC0B7A"/>
    <w:rsid w:val="3C031B6A"/>
    <w:rsid w:val="3C1262DB"/>
    <w:rsid w:val="3C1A13D5"/>
    <w:rsid w:val="3C1F3CDD"/>
    <w:rsid w:val="3C3318F7"/>
    <w:rsid w:val="3C414A7C"/>
    <w:rsid w:val="3C5A7C30"/>
    <w:rsid w:val="3C7A34E1"/>
    <w:rsid w:val="3C857E1F"/>
    <w:rsid w:val="3C8B2EA4"/>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014B7"/>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56A1D"/>
    <w:rsid w:val="40385E0C"/>
    <w:rsid w:val="403917EB"/>
    <w:rsid w:val="404F7A6B"/>
    <w:rsid w:val="40592A16"/>
    <w:rsid w:val="406623B1"/>
    <w:rsid w:val="40674790"/>
    <w:rsid w:val="406B17E1"/>
    <w:rsid w:val="40705D5D"/>
    <w:rsid w:val="4081152E"/>
    <w:rsid w:val="408A1812"/>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A2A55"/>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30831F4"/>
    <w:rsid w:val="43090B64"/>
    <w:rsid w:val="432E7531"/>
    <w:rsid w:val="43361880"/>
    <w:rsid w:val="434941B7"/>
    <w:rsid w:val="436551FA"/>
    <w:rsid w:val="43776349"/>
    <w:rsid w:val="43A46A86"/>
    <w:rsid w:val="43BA21AA"/>
    <w:rsid w:val="43BD281F"/>
    <w:rsid w:val="43BF7233"/>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8F2F2D"/>
    <w:rsid w:val="44995C31"/>
    <w:rsid w:val="44AC3C12"/>
    <w:rsid w:val="44B2766E"/>
    <w:rsid w:val="44C82F04"/>
    <w:rsid w:val="44CC2B6C"/>
    <w:rsid w:val="44E51801"/>
    <w:rsid w:val="44ED06E5"/>
    <w:rsid w:val="44F315BC"/>
    <w:rsid w:val="44F36316"/>
    <w:rsid w:val="451039AB"/>
    <w:rsid w:val="45193263"/>
    <w:rsid w:val="452A29EE"/>
    <w:rsid w:val="452E357E"/>
    <w:rsid w:val="45336C24"/>
    <w:rsid w:val="45354401"/>
    <w:rsid w:val="453D01E5"/>
    <w:rsid w:val="45493373"/>
    <w:rsid w:val="454A0FCA"/>
    <w:rsid w:val="454A4868"/>
    <w:rsid w:val="4552690C"/>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DA12C7"/>
    <w:rsid w:val="46EF544C"/>
    <w:rsid w:val="46F714E0"/>
    <w:rsid w:val="46F91A62"/>
    <w:rsid w:val="471C6A14"/>
    <w:rsid w:val="47274F4A"/>
    <w:rsid w:val="473010D7"/>
    <w:rsid w:val="4732695E"/>
    <w:rsid w:val="47334610"/>
    <w:rsid w:val="4753781A"/>
    <w:rsid w:val="47650157"/>
    <w:rsid w:val="47927375"/>
    <w:rsid w:val="47971FDC"/>
    <w:rsid w:val="479D1728"/>
    <w:rsid w:val="47A928F1"/>
    <w:rsid w:val="47C66E72"/>
    <w:rsid w:val="47C806EC"/>
    <w:rsid w:val="47F0637D"/>
    <w:rsid w:val="47F40E9D"/>
    <w:rsid w:val="48125136"/>
    <w:rsid w:val="481C0CDA"/>
    <w:rsid w:val="481C6030"/>
    <w:rsid w:val="48252F6B"/>
    <w:rsid w:val="482C6CD1"/>
    <w:rsid w:val="484B5F2F"/>
    <w:rsid w:val="4853345A"/>
    <w:rsid w:val="48622F87"/>
    <w:rsid w:val="48782922"/>
    <w:rsid w:val="48845C84"/>
    <w:rsid w:val="48914098"/>
    <w:rsid w:val="48973F32"/>
    <w:rsid w:val="489C44D3"/>
    <w:rsid w:val="489F483A"/>
    <w:rsid w:val="48C82BE2"/>
    <w:rsid w:val="48CB642A"/>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37520"/>
    <w:rsid w:val="49C4340C"/>
    <w:rsid w:val="49C4368E"/>
    <w:rsid w:val="49C46503"/>
    <w:rsid w:val="49DD7EFB"/>
    <w:rsid w:val="49E077A2"/>
    <w:rsid w:val="49F32E1B"/>
    <w:rsid w:val="49F36AE3"/>
    <w:rsid w:val="49FF1C1E"/>
    <w:rsid w:val="4A0B7057"/>
    <w:rsid w:val="4A1D619F"/>
    <w:rsid w:val="4A280667"/>
    <w:rsid w:val="4A325FE0"/>
    <w:rsid w:val="4A3845D4"/>
    <w:rsid w:val="4A495F41"/>
    <w:rsid w:val="4A511B6E"/>
    <w:rsid w:val="4A734F9B"/>
    <w:rsid w:val="4A7C4548"/>
    <w:rsid w:val="4A863BCC"/>
    <w:rsid w:val="4A8E1463"/>
    <w:rsid w:val="4AB043A7"/>
    <w:rsid w:val="4AC15779"/>
    <w:rsid w:val="4AD202C9"/>
    <w:rsid w:val="4ADE2C90"/>
    <w:rsid w:val="4AEE473A"/>
    <w:rsid w:val="4AF03277"/>
    <w:rsid w:val="4B0E1BF3"/>
    <w:rsid w:val="4B2A6621"/>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6C5AF1"/>
    <w:rsid w:val="4C7C3579"/>
    <w:rsid w:val="4C8A164A"/>
    <w:rsid w:val="4C8B5DCD"/>
    <w:rsid w:val="4C8D7B0E"/>
    <w:rsid w:val="4C984AEE"/>
    <w:rsid w:val="4CB629EB"/>
    <w:rsid w:val="4CBD15B4"/>
    <w:rsid w:val="4CBF03D6"/>
    <w:rsid w:val="4CFE4516"/>
    <w:rsid w:val="4CFF6DF1"/>
    <w:rsid w:val="4D014AEF"/>
    <w:rsid w:val="4D105B68"/>
    <w:rsid w:val="4D116A8B"/>
    <w:rsid w:val="4D1E3273"/>
    <w:rsid w:val="4D2204B2"/>
    <w:rsid w:val="4D513299"/>
    <w:rsid w:val="4D680CE9"/>
    <w:rsid w:val="4D76634A"/>
    <w:rsid w:val="4D800373"/>
    <w:rsid w:val="4D8D2AE5"/>
    <w:rsid w:val="4D9D5F78"/>
    <w:rsid w:val="4D9E74D1"/>
    <w:rsid w:val="4DA22392"/>
    <w:rsid w:val="4DAC78E7"/>
    <w:rsid w:val="4DBC2EE2"/>
    <w:rsid w:val="4DBE5704"/>
    <w:rsid w:val="4DEC4B69"/>
    <w:rsid w:val="4DF96CBC"/>
    <w:rsid w:val="4E0B6779"/>
    <w:rsid w:val="4E0F493A"/>
    <w:rsid w:val="4E171ADD"/>
    <w:rsid w:val="4E3A3C9A"/>
    <w:rsid w:val="4E4C233E"/>
    <w:rsid w:val="4E6467C3"/>
    <w:rsid w:val="4E670F11"/>
    <w:rsid w:val="4E845F98"/>
    <w:rsid w:val="4E98737F"/>
    <w:rsid w:val="4E9A7FF9"/>
    <w:rsid w:val="4EA16E8D"/>
    <w:rsid w:val="4EAA36E5"/>
    <w:rsid w:val="4EB3411C"/>
    <w:rsid w:val="4EB7180D"/>
    <w:rsid w:val="4EB77C34"/>
    <w:rsid w:val="4EBA101A"/>
    <w:rsid w:val="4ECB423B"/>
    <w:rsid w:val="4ECE0D1D"/>
    <w:rsid w:val="4ED26F97"/>
    <w:rsid w:val="4EDA7726"/>
    <w:rsid w:val="4EDF702E"/>
    <w:rsid w:val="4EE151F5"/>
    <w:rsid w:val="4EEF0A82"/>
    <w:rsid w:val="4EF148C1"/>
    <w:rsid w:val="4EF43979"/>
    <w:rsid w:val="4EFE1926"/>
    <w:rsid w:val="4F020CCB"/>
    <w:rsid w:val="4F047884"/>
    <w:rsid w:val="4F0B4D90"/>
    <w:rsid w:val="4F186AC1"/>
    <w:rsid w:val="4F1E2479"/>
    <w:rsid w:val="4F670186"/>
    <w:rsid w:val="4F696084"/>
    <w:rsid w:val="4F6E77B9"/>
    <w:rsid w:val="4F7932B9"/>
    <w:rsid w:val="4F79613F"/>
    <w:rsid w:val="4F7A3958"/>
    <w:rsid w:val="4F813AF7"/>
    <w:rsid w:val="4F823122"/>
    <w:rsid w:val="4F865BE9"/>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E557E"/>
    <w:rsid w:val="50150A2D"/>
    <w:rsid w:val="50200100"/>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33052"/>
    <w:rsid w:val="509A0302"/>
    <w:rsid w:val="509B767D"/>
    <w:rsid w:val="50BE437A"/>
    <w:rsid w:val="50BE750E"/>
    <w:rsid w:val="50C953D1"/>
    <w:rsid w:val="50E042AF"/>
    <w:rsid w:val="50E77A58"/>
    <w:rsid w:val="511836CB"/>
    <w:rsid w:val="51394C04"/>
    <w:rsid w:val="513C5648"/>
    <w:rsid w:val="515143AB"/>
    <w:rsid w:val="515A17DC"/>
    <w:rsid w:val="51685DFA"/>
    <w:rsid w:val="51705953"/>
    <w:rsid w:val="51725D98"/>
    <w:rsid w:val="51736098"/>
    <w:rsid w:val="517B7B1C"/>
    <w:rsid w:val="51875C25"/>
    <w:rsid w:val="518C69D5"/>
    <w:rsid w:val="51B14BED"/>
    <w:rsid w:val="51C67F2E"/>
    <w:rsid w:val="51C71898"/>
    <w:rsid w:val="51D5571B"/>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C13181"/>
    <w:rsid w:val="52CC3296"/>
    <w:rsid w:val="52D71166"/>
    <w:rsid w:val="52E026D3"/>
    <w:rsid w:val="52E60C81"/>
    <w:rsid w:val="52E963EC"/>
    <w:rsid w:val="52FF3969"/>
    <w:rsid w:val="53050CF9"/>
    <w:rsid w:val="531E2281"/>
    <w:rsid w:val="53793823"/>
    <w:rsid w:val="537B7A51"/>
    <w:rsid w:val="53851D77"/>
    <w:rsid w:val="53906F76"/>
    <w:rsid w:val="539874D1"/>
    <w:rsid w:val="53A900B3"/>
    <w:rsid w:val="53BE4BF9"/>
    <w:rsid w:val="53D37BF3"/>
    <w:rsid w:val="53D43A38"/>
    <w:rsid w:val="53D65728"/>
    <w:rsid w:val="53DB0569"/>
    <w:rsid w:val="53F06CFA"/>
    <w:rsid w:val="53FE42EB"/>
    <w:rsid w:val="53FF3ABE"/>
    <w:rsid w:val="54175BE1"/>
    <w:rsid w:val="54192F65"/>
    <w:rsid w:val="5445166E"/>
    <w:rsid w:val="54632332"/>
    <w:rsid w:val="546A5504"/>
    <w:rsid w:val="546F0D2A"/>
    <w:rsid w:val="547236DF"/>
    <w:rsid w:val="547B4986"/>
    <w:rsid w:val="54944CE7"/>
    <w:rsid w:val="549555A5"/>
    <w:rsid w:val="54AB289F"/>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54A78"/>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7C046F"/>
    <w:rsid w:val="567F4C77"/>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D3385"/>
    <w:rsid w:val="589E3B99"/>
    <w:rsid w:val="589F3533"/>
    <w:rsid w:val="58AC162C"/>
    <w:rsid w:val="58CA78F9"/>
    <w:rsid w:val="58D46D1B"/>
    <w:rsid w:val="58EB54CA"/>
    <w:rsid w:val="58F5414C"/>
    <w:rsid w:val="58F5528E"/>
    <w:rsid w:val="58FF6291"/>
    <w:rsid w:val="590B15D2"/>
    <w:rsid w:val="59143609"/>
    <w:rsid w:val="592C48F9"/>
    <w:rsid w:val="593261D2"/>
    <w:rsid w:val="59423730"/>
    <w:rsid w:val="5944467A"/>
    <w:rsid w:val="5949397D"/>
    <w:rsid w:val="59506815"/>
    <w:rsid w:val="59517F98"/>
    <w:rsid w:val="59586CE1"/>
    <w:rsid w:val="595A6E9E"/>
    <w:rsid w:val="596F2E06"/>
    <w:rsid w:val="597E00DF"/>
    <w:rsid w:val="5980128D"/>
    <w:rsid w:val="59822219"/>
    <w:rsid w:val="59B15318"/>
    <w:rsid w:val="59C61854"/>
    <w:rsid w:val="59E81791"/>
    <w:rsid w:val="59FB6BE2"/>
    <w:rsid w:val="5A06033D"/>
    <w:rsid w:val="5A0E79AC"/>
    <w:rsid w:val="5A0F0265"/>
    <w:rsid w:val="5A123B05"/>
    <w:rsid w:val="5A142254"/>
    <w:rsid w:val="5A1C2A23"/>
    <w:rsid w:val="5A496BD5"/>
    <w:rsid w:val="5A4B2EA3"/>
    <w:rsid w:val="5A6934B1"/>
    <w:rsid w:val="5A8D4FC0"/>
    <w:rsid w:val="5A8F1C82"/>
    <w:rsid w:val="5AA04D8D"/>
    <w:rsid w:val="5AA333BB"/>
    <w:rsid w:val="5AB53D99"/>
    <w:rsid w:val="5ABD694F"/>
    <w:rsid w:val="5AC4773A"/>
    <w:rsid w:val="5ACF620B"/>
    <w:rsid w:val="5AD85D6C"/>
    <w:rsid w:val="5AE85D18"/>
    <w:rsid w:val="5AFF5DE6"/>
    <w:rsid w:val="5B111BFC"/>
    <w:rsid w:val="5B1D47A6"/>
    <w:rsid w:val="5B1E6976"/>
    <w:rsid w:val="5B230D86"/>
    <w:rsid w:val="5B2F4CAA"/>
    <w:rsid w:val="5B4026E8"/>
    <w:rsid w:val="5B4516CD"/>
    <w:rsid w:val="5B482E24"/>
    <w:rsid w:val="5B575F0B"/>
    <w:rsid w:val="5B5A4228"/>
    <w:rsid w:val="5B650880"/>
    <w:rsid w:val="5B686AC1"/>
    <w:rsid w:val="5B7E6AC2"/>
    <w:rsid w:val="5B853A54"/>
    <w:rsid w:val="5B8B1199"/>
    <w:rsid w:val="5B9D08DB"/>
    <w:rsid w:val="5BAD5A86"/>
    <w:rsid w:val="5BCD41C3"/>
    <w:rsid w:val="5BD429A6"/>
    <w:rsid w:val="5BE87AF6"/>
    <w:rsid w:val="5C0025C0"/>
    <w:rsid w:val="5C0138F0"/>
    <w:rsid w:val="5C180007"/>
    <w:rsid w:val="5C2B06C5"/>
    <w:rsid w:val="5C565C62"/>
    <w:rsid w:val="5C64023D"/>
    <w:rsid w:val="5C6D1CB7"/>
    <w:rsid w:val="5C731C61"/>
    <w:rsid w:val="5C7625DE"/>
    <w:rsid w:val="5C7C5FA3"/>
    <w:rsid w:val="5C8005B3"/>
    <w:rsid w:val="5C9050DF"/>
    <w:rsid w:val="5C9A4DB7"/>
    <w:rsid w:val="5CA00536"/>
    <w:rsid w:val="5CC016AB"/>
    <w:rsid w:val="5CC453C1"/>
    <w:rsid w:val="5CE07B6A"/>
    <w:rsid w:val="5CE61EE8"/>
    <w:rsid w:val="5D0728CF"/>
    <w:rsid w:val="5D1A01CE"/>
    <w:rsid w:val="5D1A39EE"/>
    <w:rsid w:val="5D280F3C"/>
    <w:rsid w:val="5D411FCB"/>
    <w:rsid w:val="5D460803"/>
    <w:rsid w:val="5D475E27"/>
    <w:rsid w:val="5D494B70"/>
    <w:rsid w:val="5D5C7688"/>
    <w:rsid w:val="5D6115AF"/>
    <w:rsid w:val="5D615C0F"/>
    <w:rsid w:val="5D762C66"/>
    <w:rsid w:val="5D7E07CE"/>
    <w:rsid w:val="5D844DB8"/>
    <w:rsid w:val="5D865E73"/>
    <w:rsid w:val="5D9F7EE8"/>
    <w:rsid w:val="5DA93319"/>
    <w:rsid w:val="5DB079D9"/>
    <w:rsid w:val="5DB156E1"/>
    <w:rsid w:val="5DB8591C"/>
    <w:rsid w:val="5DCA052E"/>
    <w:rsid w:val="5DD65619"/>
    <w:rsid w:val="5DEF6B62"/>
    <w:rsid w:val="5DF47982"/>
    <w:rsid w:val="5E002949"/>
    <w:rsid w:val="5E0C5358"/>
    <w:rsid w:val="5E224225"/>
    <w:rsid w:val="5E2732CD"/>
    <w:rsid w:val="5E284D50"/>
    <w:rsid w:val="5E294B38"/>
    <w:rsid w:val="5E336F39"/>
    <w:rsid w:val="5E3723C6"/>
    <w:rsid w:val="5E501252"/>
    <w:rsid w:val="5E6D545A"/>
    <w:rsid w:val="5E723BE9"/>
    <w:rsid w:val="5E7464E9"/>
    <w:rsid w:val="5E7E4092"/>
    <w:rsid w:val="5E8E6492"/>
    <w:rsid w:val="5E923ECD"/>
    <w:rsid w:val="5E9A72CE"/>
    <w:rsid w:val="5EC00B79"/>
    <w:rsid w:val="5ED871EF"/>
    <w:rsid w:val="5EF5653C"/>
    <w:rsid w:val="5EFF2762"/>
    <w:rsid w:val="5F045F3A"/>
    <w:rsid w:val="5F0D642C"/>
    <w:rsid w:val="5F17008D"/>
    <w:rsid w:val="5F1A7A93"/>
    <w:rsid w:val="5F1C3DD8"/>
    <w:rsid w:val="5F3C716D"/>
    <w:rsid w:val="5F467922"/>
    <w:rsid w:val="5F4D6FE9"/>
    <w:rsid w:val="5F4F4D0F"/>
    <w:rsid w:val="5F5B59FB"/>
    <w:rsid w:val="5F5F081B"/>
    <w:rsid w:val="5F704D56"/>
    <w:rsid w:val="5F777336"/>
    <w:rsid w:val="5F846BD1"/>
    <w:rsid w:val="5F862DF9"/>
    <w:rsid w:val="5FA257C6"/>
    <w:rsid w:val="5FB47FA0"/>
    <w:rsid w:val="5FB57D4D"/>
    <w:rsid w:val="5FC6541D"/>
    <w:rsid w:val="5FCD3868"/>
    <w:rsid w:val="5FEE3BAD"/>
    <w:rsid w:val="5FF20BF7"/>
    <w:rsid w:val="5FF450F9"/>
    <w:rsid w:val="60074C29"/>
    <w:rsid w:val="60085D9F"/>
    <w:rsid w:val="601E7125"/>
    <w:rsid w:val="60205F90"/>
    <w:rsid w:val="60217FCF"/>
    <w:rsid w:val="60252D16"/>
    <w:rsid w:val="603F6E4B"/>
    <w:rsid w:val="604D1512"/>
    <w:rsid w:val="60512BA9"/>
    <w:rsid w:val="60595131"/>
    <w:rsid w:val="6061371C"/>
    <w:rsid w:val="606D2E98"/>
    <w:rsid w:val="607A2D9D"/>
    <w:rsid w:val="608E2F6C"/>
    <w:rsid w:val="60BF382B"/>
    <w:rsid w:val="60C75F81"/>
    <w:rsid w:val="60C816A5"/>
    <w:rsid w:val="60CC3DDB"/>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D4121"/>
    <w:rsid w:val="61DA7B1F"/>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37E95"/>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14FB8"/>
    <w:rsid w:val="65530E49"/>
    <w:rsid w:val="65551112"/>
    <w:rsid w:val="656A3FF0"/>
    <w:rsid w:val="65834C72"/>
    <w:rsid w:val="658573D0"/>
    <w:rsid w:val="658B678B"/>
    <w:rsid w:val="6590086E"/>
    <w:rsid w:val="659858FF"/>
    <w:rsid w:val="65A71F82"/>
    <w:rsid w:val="65C649BC"/>
    <w:rsid w:val="65D249C8"/>
    <w:rsid w:val="65D80985"/>
    <w:rsid w:val="65E55EB8"/>
    <w:rsid w:val="65E73B66"/>
    <w:rsid w:val="66022F90"/>
    <w:rsid w:val="66044FCB"/>
    <w:rsid w:val="66131984"/>
    <w:rsid w:val="66187135"/>
    <w:rsid w:val="662831A9"/>
    <w:rsid w:val="662C4F94"/>
    <w:rsid w:val="66313D38"/>
    <w:rsid w:val="664A22D3"/>
    <w:rsid w:val="665C0518"/>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4A4D32"/>
    <w:rsid w:val="675E2E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22E10"/>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9B1540"/>
    <w:rsid w:val="699D4818"/>
    <w:rsid w:val="69C27972"/>
    <w:rsid w:val="69C43979"/>
    <w:rsid w:val="69D00515"/>
    <w:rsid w:val="69DC5EE6"/>
    <w:rsid w:val="6A0B7E27"/>
    <w:rsid w:val="6A15604C"/>
    <w:rsid w:val="6A2E4954"/>
    <w:rsid w:val="6A3014CE"/>
    <w:rsid w:val="6A414563"/>
    <w:rsid w:val="6A557CF7"/>
    <w:rsid w:val="6A5859DD"/>
    <w:rsid w:val="6A5C2DE6"/>
    <w:rsid w:val="6A6A771D"/>
    <w:rsid w:val="6A6E396D"/>
    <w:rsid w:val="6A7E2CA7"/>
    <w:rsid w:val="6AA507AA"/>
    <w:rsid w:val="6AB7364C"/>
    <w:rsid w:val="6AC9421D"/>
    <w:rsid w:val="6AD53613"/>
    <w:rsid w:val="6AD94F47"/>
    <w:rsid w:val="6AE641A3"/>
    <w:rsid w:val="6AE91DBD"/>
    <w:rsid w:val="6AEF29C9"/>
    <w:rsid w:val="6B281153"/>
    <w:rsid w:val="6B4227D3"/>
    <w:rsid w:val="6B4C3B26"/>
    <w:rsid w:val="6B6162D1"/>
    <w:rsid w:val="6B7747FD"/>
    <w:rsid w:val="6B8D6111"/>
    <w:rsid w:val="6B9C3AE5"/>
    <w:rsid w:val="6BA924EB"/>
    <w:rsid w:val="6BB3693A"/>
    <w:rsid w:val="6BB3754C"/>
    <w:rsid w:val="6BC86908"/>
    <w:rsid w:val="6BCE245B"/>
    <w:rsid w:val="6BDB0A87"/>
    <w:rsid w:val="6BEB5350"/>
    <w:rsid w:val="6BEC7C68"/>
    <w:rsid w:val="6C39658E"/>
    <w:rsid w:val="6C4C2667"/>
    <w:rsid w:val="6C924478"/>
    <w:rsid w:val="6CA51813"/>
    <w:rsid w:val="6CA6776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0899"/>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9A5B3E"/>
    <w:rsid w:val="6FB23A01"/>
    <w:rsid w:val="6FBA4BA1"/>
    <w:rsid w:val="6FBC778D"/>
    <w:rsid w:val="6FDC4815"/>
    <w:rsid w:val="6FEA3E2C"/>
    <w:rsid w:val="6FEB04D5"/>
    <w:rsid w:val="6FFE78BB"/>
    <w:rsid w:val="701241A0"/>
    <w:rsid w:val="702603AF"/>
    <w:rsid w:val="7031023D"/>
    <w:rsid w:val="70531F9D"/>
    <w:rsid w:val="705E3F40"/>
    <w:rsid w:val="706301C0"/>
    <w:rsid w:val="70646C14"/>
    <w:rsid w:val="70726E65"/>
    <w:rsid w:val="70DB4B36"/>
    <w:rsid w:val="70E040A3"/>
    <w:rsid w:val="70E13200"/>
    <w:rsid w:val="70E91C33"/>
    <w:rsid w:val="70FF3D31"/>
    <w:rsid w:val="7103522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2B4090"/>
    <w:rsid w:val="723F5976"/>
    <w:rsid w:val="724530CF"/>
    <w:rsid w:val="725C38FE"/>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174F4"/>
    <w:rsid w:val="736816C1"/>
    <w:rsid w:val="737B0183"/>
    <w:rsid w:val="7381208C"/>
    <w:rsid w:val="73841927"/>
    <w:rsid w:val="738A7955"/>
    <w:rsid w:val="73A36DC3"/>
    <w:rsid w:val="73A64530"/>
    <w:rsid w:val="73A9530B"/>
    <w:rsid w:val="73B33483"/>
    <w:rsid w:val="73DE4D67"/>
    <w:rsid w:val="73FC6BEB"/>
    <w:rsid w:val="74016246"/>
    <w:rsid w:val="741255AF"/>
    <w:rsid w:val="743D7217"/>
    <w:rsid w:val="745A4881"/>
    <w:rsid w:val="745C121D"/>
    <w:rsid w:val="746D0FDE"/>
    <w:rsid w:val="746F3109"/>
    <w:rsid w:val="74881C43"/>
    <w:rsid w:val="749A55E5"/>
    <w:rsid w:val="74B3391B"/>
    <w:rsid w:val="74BC5374"/>
    <w:rsid w:val="74CF4EC9"/>
    <w:rsid w:val="74D552C0"/>
    <w:rsid w:val="74DB0C49"/>
    <w:rsid w:val="74E03EAC"/>
    <w:rsid w:val="74E40DB3"/>
    <w:rsid w:val="74F1132B"/>
    <w:rsid w:val="7514569D"/>
    <w:rsid w:val="751B4A79"/>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144FC"/>
    <w:rsid w:val="7628164D"/>
    <w:rsid w:val="76375AC5"/>
    <w:rsid w:val="76475DB4"/>
    <w:rsid w:val="765062E5"/>
    <w:rsid w:val="76725203"/>
    <w:rsid w:val="767263E3"/>
    <w:rsid w:val="767955BC"/>
    <w:rsid w:val="767F6735"/>
    <w:rsid w:val="7689098F"/>
    <w:rsid w:val="768D7CD7"/>
    <w:rsid w:val="76A17FB6"/>
    <w:rsid w:val="76B33B0D"/>
    <w:rsid w:val="76C2056E"/>
    <w:rsid w:val="76CE079E"/>
    <w:rsid w:val="770D0D85"/>
    <w:rsid w:val="770D2AFC"/>
    <w:rsid w:val="771B710A"/>
    <w:rsid w:val="77245AA8"/>
    <w:rsid w:val="772870FB"/>
    <w:rsid w:val="773A6995"/>
    <w:rsid w:val="773D2757"/>
    <w:rsid w:val="77430B38"/>
    <w:rsid w:val="774B7FB7"/>
    <w:rsid w:val="774D1291"/>
    <w:rsid w:val="77504D2A"/>
    <w:rsid w:val="775E0582"/>
    <w:rsid w:val="775F4656"/>
    <w:rsid w:val="776C25E5"/>
    <w:rsid w:val="776C3E9D"/>
    <w:rsid w:val="777146DC"/>
    <w:rsid w:val="77747495"/>
    <w:rsid w:val="77813C44"/>
    <w:rsid w:val="778F614C"/>
    <w:rsid w:val="7797606B"/>
    <w:rsid w:val="779E1F21"/>
    <w:rsid w:val="77B7237F"/>
    <w:rsid w:val="77E40842"/>
    <w:rsid w:val="77F21B61"/>
    <w:rsid w:val="77FD2C5E"/>
    <w:rsid w:val="78271104"/>
    <w:rsid w:val="7828402F"/>
    <w:rsid w:val="782F5476"/>
    <w:rsid w:val="783000F4"/>
    <w:rsid w:val="78464A37"/>
    <w:rsid w:val="784A60C8"/>
    <w:rsid w:val="784B7472"/>
    <w:rsid w:val="785E7134"/>
    <w:rsid w:val="78661ED8"/>
    <w:rsid w:val="78861A8D"/>
    <w:rsid w:val="788F779E"/>
    <w:rsid w:val="78973BA6"/>
    <w:rsid w:val="78A376CA"/>
    <w:rsid w:val="78B82CD3"/>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D6ABE"/>
    <w:rsid w:val="79A65FED"/>
    <w:rsid w:val="79A70B11"/>
    <w:rsid w:val="79B43C51"/>
    <w:rsid w:val="79B6170C"/>
    <w:rsid w:val="79BB3341"/>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37C16"/>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7035DC"/>
    <w:rsid w:val="7D81439A"/>
    <w:rsid w:val="7D8924BD"/>
    <w:rsid w:val="7D8F4F8D"/>
    <w:rsid w:val="7DA15D86"/>
    <w:rsid w:val="7DA47874"/>
    <w:rsid w:val="7DAC213C"/>
    <w:rsid w:val="7DAC49C4"/>
    <w:rsid w:val="7DB168E1"/>
    <w:rsid w:val="7DB44FBE"/>
    <w:rsid w:val="7DB704CD"/>
    <w:rsid w:val="7DC26A8B"/>
    <w:rsid w:val="7DC64605"/>
    <w:rsid w:val="7DCF7966"/>
    <w:rsid w:val="7DDD0501"/>
    <w:rsid w:val="7DF0192C"/>
    <w:rsid w:val="7E2653BA"/>
    <w:rsid w:val="7E2B63E7"/>
    <w:rsid w:val="7E4048EE"/>
    <w:rsid w:val="7E5348C9"/>
    <w:rsid w:val="7E575DF3"/>
    <w:rsid w:val="7E8A1E6A"/>
    <w:rsid w:val="7E8B79FF"/>
    <w:rsid w:val="7E905860"/>
    <w:rsid w:val="7E9334E2"/>
    <w:rsid w:val="7E935AFB"/>
    <w:rsid w:val="7E9B5A36"/>
    <w:rsid w:val="7E9C3271"/>
    <w:rsid w:val="7EA23F4F"/>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390D88"/>
    <w:rsid w:val="7F424BA5"/>
    <w:rsid w:val="7F4610EC"/>
    <w:rsid w:val="7F50759A"/>
    <w:rsid w:val="7F5D7BDF"/>
    <w:rsid w:val="7F62141C"/>
    <w:rsid w:val="7F6D003B"/>
    <w:rsid w:val="7F714308"/>
    <w:rsid w:val="7F73336C"/>
    <w:rsid w:val="7F7614D8"/>
    <w:rsid w:val="7F7A7D69"/>
    <w:rsid w:val="7F8029F6"/>
    <w:rsid w:val="7F822892"/>
    <w:rsid w:val="7F875650"/>
    <w:rsid w:val="7F8A68D8"/>
    <w:rsid w:val="7FA22782"/>
    <w:rsid w:val="7FA522BC"/>
    <w:rsid w:val="7FB05784"/>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2024-08-09T07:54:04Z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